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EB" w:rsidRDefault="00C748C9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>Vejledning til ansøger</w:t>
      </w:r>
      <w:r w:rsidR="00A5645F">
        <w:rPr>
          <w:b/>
          <w:sz w:val="28"/>
        </w:rPr>
        <w:t>e</w:t>
      </w:r>
      <w:r w:rsidR="00681901">
        <w:rPr>
          <w:b/>
          <w:sz w:val="28"/>
        </w:rPr>
        <w:t xml:space="preserve"> samt </w:t>
      </w:r>
      <w:r>
        <w:rPr>
          <w:b/>
          <w:sz w:val="28"/>
        </w:rPr>
        <w:t xml:space="preserve">oplysning om persondatapolitik </w:t>
      </w:r>
    </w:p>
    <w:p w:rsidR="004515EB" w:rsidRDefault="00C748C9">
      <w:pPr>
        <w:pStyle w:val="Overskrift1"/>
        <w:ind w:left="-5"/>
      </w:pPr>
      <w:r>
        <w:t xml:space="preserve">Fonden  </w:t>
      </w:r>
    </w:p>
    <w:p w:rsidR="004515EB" w:rsidRDefault="009421D1">
      <w:pPr>
        <w:spacing w:after="1" w:line="240" w:lineRule="auto"/>
        <w:ind w:left="-5" w:right="-9"/>
        <w:jc w:val="both"/>
      </w:pPr>
      <w:r w:rsidRPr="006521F3">
        <w:t>Ellen og Herman Egelund</w:t>
      </w:r>
      <w:r w:rsidR="00C748C9" w:rsidRPr="006521F3">
        <w:t xml:space="preserve">, </w:t>
      </w:r>
      <w:r w:rsidR="006521F3" w:rsidRPr="006521F3">
        <w:t>Gladsaxe</w:t>
      </w:r>
      <w:r w:rsidR="00C748C9" w:rsidRPr="006521F3">
        <w:t xml:space="preserve">, testamenterede </w:t>
      </w:r>
      <w:r w:rsidRPr="006521F3">
        <w:t>midler til oprettelse af en fond</w:t>
      </w:r>
      <w:r w:rsidR="006521F3" w:rsidRPr="006521F3">
        <w:t xml:space="preserve">. Fonden blev </w:t>
      </w:r>
      <w:r w:rsidR="006521F3">
        <w:t xml:space="preserve">på den baggrund </w:t>
      </w:r>
      <w:r w:rsidR="00C954E4">
        <w:t xml:space="preserve">herefter </w:t>
      </w:r>
      <w:r w:rsidR="006521F3" w:rsidRPr="006521F3">
        <w:t xml:space="preserve">oprettet i 2021 med det formål </w:t>
      </w:r>
      <w:r w:rsidRPr="006521F3">
        <w:t xml:space="preserve">at </w:t>
      </w:r>
      <w:r w:rsidR="006521F3" w:rsidRPr="006521F3">
        <w:t>u</w:t>
      </w:r>
      <w:r w:rsidR="006521F3" w:rsidRPr="006521F3">
        <w:rPr>
          <w:rFonts w:asciiTheme="minorHAnsi" w:hAnsiTheme="minorHAnsi" w:cstheme="minorHAnsi"/>
        </w:rPr>
        <w:t xml:space="preserve">ddele legater til børn og unge </w:t>
      </w:r>
      <w:r w:rsidR="006521F3">
        <w:rPr>
          <w:rFonts w:asciiTheme="minorHAnsi" w:hAnsiTheme="minorHAnsi" w:cstheme="minorHAnsi"/>
        </w:rPr>
        <w:t>under 18 år</w:t>
      </w:r>
      <w:r w:rsidR="00620924">
        <w:rPr>
          <w:rFonts w:asciiTheme="minorHAnsi" w:hAnsiTheme="minorHAnsi" w:cstheme="minorHAnsi"/>
        </w:rPr>
        <w:t xml:space="preserve"> på Vestegnen</w:t>
      </w:r>
      <w:r w:rsidR="006521F3" w:rsidRPr="006521F3">
        <w:rPr>
          <w:rFonts w:asciiTheme="minorHAnsi" w:hAnsiTheme="minorHAnsi" w:cstheme="minorHAnsi"/>
        </w:rPr>
        <w:t xml:space="preserve">, </w:t>
      </w:r>
      <w:r w:rsidR="00620924">
        <w:rPr>
          <w:rFonts w:asciiTheme="minorHAnsi" w:hAnsiTheme="minorHAnsi" w:cstheme="minorHAnsi"/>
        </w:rPr>
        <w:t xml:space="preserve">involveret i kriminalitet </w:t>
      </w:r>
      <w:r w:rsidR="006521F3" w:rsidRPr="006521F3">
        <w:rPr>
          <w:rFonts w:asciiTheme="minorHAnsi" w:hAnsiTheme="minorHAnsi" w:cstheme="minorHAnsi"/>
        </w:rPr>
        <w:t>der har</w:t>
      </w:r>
      <w:r w:rsidR="00952A74">
        <w:rPr>
          <w:rFonts w:asciiTheme="minorHAnsi" w:hAnsiTheme="minorHAnsi" w:cstheme="minorHAnsi"/>
        </w:rPr>
        <w:t xml:space="preserve"> brug for et skub i den rigtige retning</w:t>
      </w:r>
      <w:r w:rsidR="006521F3">
        <w:rPr>
          <w:rFonts w:asciiTheme="minorHAnsi" w:hAnsiTheme="minorHAnsi" w:cstheme="minorHAnsi"/>
        </w:rPr>
        <w:t xml:space="preserve">, og som har behov for et økonomisk tilskud </w:t>
      </w:r>
      <w:r w:rsidR="00C954E4">
        <w:rPr>
          <w:rFonts w:asciiTheme="minorHAnsi" w:hAnsiTheme="minorHAnsi" w:cstheme="minorHAnsi"/>
        </w:rPr>
        <w:t xml:space="preserve">for at kunne gennemføre </w:t>
      </w:r>
      <w:r w:rsidR="00952A74">
        <w:rPr>
          <w:rFonts w:asciiTheme="minorHAnsi" w:hAnsiTheme="minorHAnsi" w:cstheme="minorHAnsi"/>
        </w:rPr>
        <w:t xml:space="preserve">fx </w:t>
      </w:r>
      <w:r w:rsidR="00C954E4">
        <w:rPr>
          <w:rFonts w:asciiTheme="minorHAnsi" w:hAnsiTheme="minorHAnsi" w:cstheme="minorHAnsi"/>
        </w:rPr>
        <w:t>et</w:t>
      </w:r>
      <w:r w:rsidR="006521F3">
        <w:rPr>
          <w:rFonts w:asciiTheme="minorHAnsi" w:hAnsiTheme="minorHAnsi" w:cstheme="minorHAnsi"/>
        </w:rPr>
        <w:t xml:space="preserve"> </w:t>
      </w:r>
      <w:r w:rsidR="00AA2117">
        <w:rPr>
          <w:rFonts w:asciiTheme="minorHAnsi" w:hAnsiTheme="minorHAnsi" w:cstheme="minorHAnsi"/>
        </w:rPr>
        <w:t xml:space="preserve">skole- eller </w:t>
      </w:r>
      <w:r w:rsidR="006521F3">
        <w:rPr>
          <w:rFonts w:asciiTheme="minorHAnsi" w:hAnsiTheme="minorHAnsi" w:cstheme="minorHAnsi"/>
        </w:rPr>
        <w:t>uddannelsesophold</w:t>
      </w:r>
      <w:r w:rsidR="00AA2117">
        <w:rPr>
          <w:rFonts w:asciiTheme="minorHAnsi" w:hAnsiTheme="minorHAnsi" w:cstheme="minorHAnsi"/>
        </w:rPr>
        <w:t>, kursus, projekt</w:t>
      </w:r>
      <w:r w:rsidR="00620924">
        <w:rPr>
          <w:rFonts w:asciiTheme="minorHAnsi" w:hAnsiTheme="minorHAnsi" w:cstheme="minorHAnsi"/>
        </w:rPr>
        <w:t>, aktivitet</w:t>
      </w:r>
      <w:r w:rsidR="006521F3">
        <w:rPr>
          <w:rFonts w:asciiTheme="minorHAnsi" w:hAnsiTheme="minorHAnsi" w:cstheme="minorHAnsi"/>
        </w:rPr>
        <w:t xml:space="preserve"> eller lignende</w:t>
      </w:r>
      <w:r w:rsidR="006521F3" w:rsidRPr="006521F3">
        <w:rPr>
          <w:rFonts w:asciiTheme="minorHAnsi" w:hAnsiTheme="minorHAnsi" w:cstheme="minorHAnsi"/>
        </w:rPr>
        <w:t xml:space="preserve">. </w:t>
      </w:r>
      <w:r w:rsidR="00C954E4">
        <w:rPr>
          <w:rFonts w:asciiTheme="minorHAnsi" w:hAnsiTheme="minorHAnsi" w:cstheme="minorHAnsi"/>
        </w:rPr>
        <w:t>Det er en forudsætning, at ansøger</w:t>
      </w:r>
      <w:r w:rsidR="00A5645F">
        <w:rPr>
          <w:rFonts w:asciiTheme="minorHAnsi" w:hAnsiTheme="minorHAnsi" w:cstheme="minorHAnsi"/>
        </w:rPr>
        <w:t>e</w:t>
      </w:r>
      <w:r w:rsidR="00C954E4">
        <w:rPr>
          <w:rFonts w:asciiTheme="minorHAnsi" w:hAnsiTheme="minorHAnsi" w:cstheme="minorHAnsi"/>
        </w:rPr>
        <w:t xml:space="preserve"> har bopæl i en </w:t>
      </w:r>
      <w:r w:rsidR="000C7233">
        <w:rPr>
          <w:rFonts w:asciiTheme="minorHAnsi" w:hAnsiTheme="minorHAnsi" w:cstheme="minorHAnsi"/>
        </w:rPr>
        <w:t xml:space="preserve">af de 11 </w:t>
      </w:r>
      <w:r w:rsidR="00C954E4">
        <w:rPr>
          <w:rFonts w:asciiTheme="minorHAnsi" w:hAnsiTheme="minorHAnsi" w:cstheme="minorHAnsi"/>
        </w:rPr>
        <w:t>kommune</w:t>
      </w:r>
      <w:r w:rsidR="000C7233">
        <w:rPr>
          <w:rFonts w:asciiTheme="minorHAnsi" w:hAnsiTheme="minorHAnsi" w:cstheme="minorHAnsi"/>
        </w:rPr>
        <w:t>r</w:t>
      </w:r>
      <w:r w:rsidR="00C954E4">
        <w:rPr>
          <w:rFonts w:asciiTheme="minorHAnsi" w:hAnsiTheme="minorHAnsi" w:cstheme="minorHAnsi"/>
        </w:rPr>
        <w:t xml:space="preserve"> på Vestegnen.</w:t>
      </w:r>
      <w:bookmarkStart w:id="0" w:name="_GoBack"/>
      <w:bookmarkEnd w:id="0"/>
      <w:r w:rsidRPr="006521F3">
        <w:t xml:space="preserve"> </w:t>
      </w:r>
      <w:r w:rsidR="00681901">
        <w:t xml:space="preserve">Fonden uddeler legater for </w:t>
      </w:r>
      <w:r w:rsidR="00924EBC">
        <w:t xml:space="preserve">op til </w:t>
      </w:r>
      <w:r w:rsidR="00681901">
        <w:t>kr.</w:t>
      </w:r>
      <w:r w:rsidR="00C76788">
        <w:t xml:space="preserve"> 150.000 - 25</w:t>
      </w:r>
      <w:r w:rsidR="00DF426D">
        <w:t>0</w:t>
      </w:r>
      <w:r w:rsidR="00681901">
        <w:t>.000 hvert år frem til og med år 2030.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ind w:left="-5" w:right="0"/>
      </w:pPr>
      <w:r>
        <w:t>Fondens bestyrelse består af Københavns Vestegns Politis politidirektør, chefpolitiinspektør, stabschef samt</w:t>
      </w:r>
      <w:r w:rsidR="009421D1">
        <w:t xml:space="preserve"> </w:t>
      </w:r>
      <w:r>
        <w:t xml:space="preserve">formanden </w:t>
      </w:r>
      <w:r w:rsidR="009421D1">
        <w:t xml:space="preserve">for </w:t>
      </w:r>
      <w:r w:rsidR="009421D1" w:rsidRPr="006521F3">
        <w:t>Ungdomskriminalitetsnævnet</w:t>
      </w:r>
      <w:r w:rsidRPr="006521F3">
        <w:t>.</w:t>
      </w:r>
      <w:r>
        <w:t xml:space="preserve"> 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pStyle w:val="Overskrift1"/>
        <w:ind w:left="-5"/>
      </w:pPr>
      <w:r>
        <w:t xml:space="preserve">Ansøgning </w:t>
      </w:r>
    </w:p>
    <w:p w:rsidR="004515EB" w:rsidRDefault="00C748C9">
      <w:pPr>
        <w:ind w:left="-5" w:right="0"/>
      </w:pPr>
      <w:r>
        <w:t xml:space="preserve">For at ansøge om et legat fra Fonden skal </w:t>
      </w:r>
      <w:r w:rsidR="00A5645F">
        <w:t xml:space="preserve">ansøgere </w:t>
      </w:r>
      <w:r w:rsidR="00952A74">
        <w:t xml:space="preserve">anvende </w:t>
      </w:r>
      <w:r>
        <w:rPr>
          <w:b/>
        </w:rPr>
        <w:t>Fondens ansøgningsskema</w:t>
      </w:r>
      <w:r w:rsidR="00681901">
        <w:t xml:space="preserve">. Dette </w:t>
      </w:r>
      <w:r w:rsidR="00952A74">
        <w:t>finde</w:t>
      </w:r>
      <w:r w:rsidR="00A5645F">
        <w:t>s</w:t>
      </w:r>
      <w:r w:rsidR="00952A74">
        <w:t xml:space="preserve"> </w:t>
      </w:r>
      <w:r>
        <w:t xml:space="preserve">på </w:t>
      </w:r>
      <w:hyperlink r:id="rId7">
        <w:r>
          <w:rPr>
            <w:color w:val="0563C1"/>
            <w:u w:val="single" w:color="0563C1"/>
          </w:rPr>
          <w:t>www.politi.dk/KBHVfond</w:t>
        </w:r>
      </w:hyperlink>
      <w:hyperlink r:id="rId8">
        <w:r>
          <w:t>.</w:t>
        </w:r>
      </w:hyperlink>
      <w:r>
        <w:t xml:space="preserve">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spacing w:after="1" w:line="240" w:lineRule="auto"/>
        <w:ind w:left="-5" w:right="-9"/>
        <w:jc w:val="both"/>
      </w:pPr>
      <w:r>
        <w:t>Det er afgørende for behandling af ansøgning</w:t>
      </w:r>
      <w:r w:rsidR="00A5645F">
        <w:t>en</w:t>
      </w:r>
      <w:r>
        <w:t xml:space="preserve">, at </w:t>
      </w:r>
      <w:r w:rsidR="00A5645F">
        <w:t xml:space="preserve">den </w:t>
      </w:r>
      <w:r>
        <w:t xml:space="preserve">er veldokumenteret både med hensyn til formål og de økonomiske forhold.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ind w:left="-5" w:right="0"/>
      </w:pPr>
      <w:r>
        <w:t xml:space="preserve">Fristen for indgivelse af ansøgninger fremgår af de offentlige opslag. Ansøgninger modtaget efter ansøgningsfristen vil ikke blive behandlet.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A5645F">
      <w:pPr>
        <w:ind w:left="-5" w:right="0"/>
      </w:pPr>
      <w:r>
        <w:t xml:space="preserve">Ansøgningen kan sendes </w:t>
      </w:r>
      <w:r w:rsidR="00C748C9">
        <w:t xml:space="preserve">sikkert: </w:t>
      </w:r>
    </w:p>
    <w:p w:rsidR="004515EB" w:rsidRDefault="00C748C9">
      <w:pPr>
        <w:numPr>
          <w:ilvl w:val="0"/>
          <w:numId w:val="1"/>
        </w:numPr>
        <w:ind w:right="0" w:hanging="360"/>
      </w:pPr>
      <w:r>
        <w:t xml:space="preserve">Via </w:t>
      </w:r>
      <w:r w:rsidR="00DF6633">
        <w:t xml:space="preserve">e-boks til Københavns Vestegns Politi eller </w:t>
      </w:r>
      <w:r>
        <w:t xml:space="preserve">sikker post til KBHV@politi.dk </w:t>
      </w:r>
    </w:p>
    <w:p w:rsidR="004515EB" w:rsidRDefault="00C748C9">
      <w:pPr>
        <w:numPr>
          <w:ilvl w:val="0"/>
          <w:numId w:val="1"/>
        </w:numPr>
        <w:ind w:right="0" w:hanging="360"/>
      </w:pPr>
      <w:r>
        <w:t>Med almindelig post til E</w:t>
      </w:r>
      <w:r w:rsidR="009421D1">
        <w:t>llen og Herman Egelunds F</w:t>
      </w:r>
      <w:r>
        <w:t xml:space="preserve">ond, Sekretariatet, C/O Københavns Vestegns Politi, Birkelundsvej 2, 2620 Albertslund </w:t>
      </w:r>
    </w:p>
    <w:p w:rsidR="00DF6633" w:rsidRDefault="00DF6633">
      <w:pPr>
        <w:ind w:left="-5" w:right="0"/>
      </w:pPr>
    </w:p>
    <w:p w:rsidR="004515EB" w:rsidRDefault="00C748C9">
      <w:pPr>
        <w:ind w:left="-5" w:right="0"/>
      </w:pPr>
      <w:r>
        <w:t xml:space="preserve">Fondens bestyrelse afholder </w:t>
      </w:r>
      <w:r w:rsidR="00952A74">
        <w:t xml:space="preserve">mindst </w:t>
      </w:r>
      <w:r>
        <w:t>ét årligt uddelingsmøde, hvor ansøgninger</w:t>
      </w:r>
      <w:r w:rsidR="00952A74">
        <w:t>ne</w:t>
      </w:r>
      <w:r>
        <w:t xml:space="preserve"> behandles. Legaterne uddeles efter bestyrelsens vurdering i henhold til fundatsen.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A5645F">
      <w:pPr>
        <w:spacing w:after="1" w:line="240" w:lineRule="auto"/>
        <w:ind w:left="-5" w:right="-9"/>
        <w:jc w:val="both"/>
      </w:pPr>
      <w:r>
        <w:t>Alle ansøgere</w:t>
      </w:r>
      <w:r w:rsidR="00952A74">
        <w:t xml:space="preserve"> </w:t>
      </w:r>
      <w:r w:rsidR="00C748C9">
        <w:t xml:space="preserve">får </w:t>
      </w:r>
      <w:r w:rsidR="00C748C9">
        <w:rPr>
          <w:b/>
        </w:rPr>
        <w:t>skriftligt svar</w:t>
      </w:r>
      <w:r>
        <w:rPr>
          <w:b/>
        </w:rPr>
        <w:t xml:space="preserve"> </w:t>
      </w:r>
      <w:r w:rsidR="00C748C9">
        <w:t xml:space="preserve">snarest muligt efter uddelingsmødet. Der gives ingen begrundelse for tildeling eller afslag på en ansøgning. 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AA2117" w:rsidRDefault="003432AC">
      <w:pPr>
        <w:spacing w:line="250" w:lineRule="auto"/>
        <w:ind w:left="-5" w:right="0"/>
      </w:pPr>
      <w:r w:rsidRPr="00AA2117">
        <w:t>Et</w:t>
      </w:r>
      <w:r w:rsidR="00C748C9" w:rsidRPr="00AA2117">
        <w:t xml:space="preserve"> legatbeløb</w:t>
      </w:r>
      <w:r w:rsidRPr="00AA2117">
        <w:t xml:space="preserve"> </w:t>
      </w:r>
      <w:r w:rsidR="00AA2117" w:rsidRPr="00AA2117">
        <w:t xml:space="preserve">udbetales som udgangspunkt til </w:t>
      </w:r>
      <w:r w:rsidR="00620924">
        <w:t>s</w:t>
      </w:r>
      <w:r w:rsidR="00AA2117" w:rsidRPr="00AA2117">
        <w:t>kole</w:t>
      </w:r>
      <w:r w:rsidR="00620924">
        <w:t>n</w:t>
      </w:r>
      <w:r w:rsidR="00AA2117" w:rsidRPr="00AA2117">
        <w:t>/uddannelses</w:t>
      </w:r>
      <w:r w:rsidR="00620924">
        <w:t>institutionen/</w:t>
      </w:r>
      <w:r w:rsidR="00AA2117" w:rsidRPr="00AA2117">
        <w:t>kurs</w:t>
      </w:r>
      <w:r w:rsidR="00620924">
        <w:t>us- eller aktivitetsansvarlige</w:t>
      </w:r>
      <w:r w:rsidR="00DF6633">
        <w:t xml:space="preserve"> eller </w:t>
      </w:r>
      <w:r w:rsidR="00A5645F">
        <w:t>til foreningen</w:t>
      </w:r>
      <w:r w:rsidR="00620924">
        <w:t>.</w:t>
      </w:r>
      <w:r w:rsidR="00AA2117" w:rsidRPr="00AA2117">
        <w:t xml:space="preserve"> </w:t>
      </w:r>
      <w:r w:rsidR="00AA2117">
        <w:t xml:space="preserve">Fonden indberetter legatbeløb til Skat efter reglerne herfor. </w:t>
      </w:r>
      <w:r w:rsidR="00DF6633">
        <w:t>Efter skole-, uddannelsesforløbet, kurset, projektet</w:t>
      </w:r>
      <w:r w:rsidR="00620924">
        <w:t>, aktiviteten</w:t>
      </w:r>
      <w:r w:rsidR="00DF6633">
        <w:t xml:space="preserve"> vil du</w:t>
      </w:r>
      <w:r w:rsidR="00A5645F">
        <w:t>/I</w:t>
      </w:r>
      <w:r w:rsidR="00DF6633">
        <w:t xml:space="preserve"> blive bedt om at skrive et kort referat af forløbet til Fonden. </w:t>
      </w:r>
    </w:p>
    <w:p w:rsidR="004515EB" w:rsidRDefault="00AA2117">
      <w:pPr>
        <w:spacing w:line="250" w:lineRule="auto"/>
        <w:ind w:left="-5" w:right="0"/>
      </w:pPr>
      <w:r>
        <w:rPr>
          <w:b/>
        </w:rPr>
        <w:t>Det bemærkes, at legatbeløbet a</w:t>
      </w:r>
      <w:r w:rsidR="003432AC">
        <w:rPr>
          <w:b/>
        </w:rPr>
        <w:t xml:space="preserve">lene </w:t>
      </w:r>
      <w:r>
        <w:rPr>
          <w:b/>
        </w:rPr>
        <w:t xml:space="preserve">må </w:t>
      </w:r>
      <w:r w:rsidR="003432AC">
        <w:rPr>
          <w:b/>
        </w:rPr>
        <w:t>anvendes</w:t>
      </w:r>
      <w:r w:rsidR="00C748C9">
        <w:rPr>
          <w:b/>
        </w:rPr>
        <w:t xml:space="preserve"> til det, som Fonden har tildelt beløbet til. Eventuelle overskydende midler eller legatmidler, der er brugt i strid med det, Fonden har givet legatmidlerne til, skal tilbagebetales til Fonden.   </w:t>
      </w:r>
    </w:p>
    <w:p w:rsidR="004515EB" w:rsidRDefault="00C748C9">
      <w:pPr>
        <w:pStyle w:val="Overskrift1"/>
        <w:ind w:left="-5"/>
      </w:pPr>
      <w:r>
        <w:lastRenderedPageBreak/>
        <w:t xml:space="preserve">Persondatapolitik </w:t>
      </w:r>
      <w:r w:rsidR="000C7233">
        <w:t>– vejledning til ansøger</w:t>
      </w:r>
      <w:r w:rsidR="00A5645F">
        <w:t>e</w:t>
      </w:r>
      <w:r w:rsidR="000C7233">
        <w:t xml:space="preserve"> </w:t>
      </w:r>
    </w:p>
    <w:p w:rsidR="004515EB" w:rsidRDefault="00C748C9">
      <w:pPr>
        <w:spacing w:after="0" w:line="240" w:lineRule="auto"/>
        <w:ind w:left="0" w:right="0" w:firstLine="0"/>
      </w:pPr>
      <w:r>
        <w:t xml:space="preserve">Behandling af personoplysninger (persondata) hos Fonden sker sikkert og efter gældende regler i databeskyttelsesforordningen og databeskyttelsesloven.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pStyle w:val="Overskrift2"/>
        <w:ind w:left="-5"/>
      </w:pPr>
      <w:r>
        <w:t>Formål og behandlingsgrundlag</w:t>
      </w:r>
      <w:r>
        <w:rPr>
          <w:u w:val="none"/>
        </w:rPr>
        <w:t xml:space="preserve"> </w:t>
      </w:r>
    </w:p>
    <w:p w:rsidR="004515EB" w:rsidRDefault="00C748C9">
      <w:pPr>
        <w:ind w:left="-5" w:right="0"/>
      </w:pPr>
      <w:r>
        <w:t>Til brug for behandling af en ansøgning om legat fra Fonden, har Fonden brug for at behandle en række persondata om</w:t>
      </w:r>
      <w:r w:rsidR="00952A74">
        <w:t xml:space="preserve"> </w:t>
      </w:r>
      <w:r w:rsidR="000C7233">
        <w:t xml:space="preserve">ansøger. </w:t>
      </w:r>
      <w:r>
        <w:t xml:space="preserve">Det vil typisk være cpr. nr. samt kontaktoplysninger som navn, adresse, e-mailadresse, og telefonnummer.  </w:t>
      </w:r>
      <w:r w:rsidR="00A5645F">
        <w:t xml:space="preserve">Er ansøger under 18 år, </w:t>
      </w:r>
      <w:r>
        <w:t>indhente</w:t>
      </w:r>
      <w:r w:rsidR="00A5645F">
        <w:t>s</w:t>
      </w:r>
      <w:r w:rsidR="000C7233">
        <w:t xml:space="preserve"> ansøgers</w:t>
      </w:r>
      <w:r w:rsidR="00C954E4">
        <w:t xml:space="preserve"> </w:t>
      </w:r>
      <w:r w:rsidR="00E60633">
        <w:t>værgers</w:t>
      </w:r>
      <w:r w:rsidR="00C954E4">
        <w:t xml:space="preserve"> </w:t>
      </w:r>
      <w:r w:rsidR="000C7233">
        <w:t xml:space="preserve">(forældremyndighedsindehavers) </w:t>
      </w:r>
      <w:r>
        <w:t xml:space="preserve">samtykke til behandling af </w:t>
      </w:r>
      <w:r w:rsidR="000C7233">
        <w:t>ansøgers</w:t>
      </w:r>
      <w:r>
        <w:t xml:space="preserve"> persondata i forbindelse med </w:t>
      </w:r>
      <w:r w:rsidR="000C7233">
        <w:t>en</w:t>
      </w:r>
      <w:r>
        <w:t xml:space="preserve"> ansøgning til fonden</w:t>
      </w:r>
      <w:r w:rsidR="00964AB5">
        <w:t>.</w:t>
      </w:r>
      <w:r>
        <w:t xml:space="preserve">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954E4">
      <w:pPr>
        <w:ind w:left="-5" w:right="0"/>
      </w:pPr>
      <w:r>
        <w:t>S</w:t>
      </w:r>
      <w:r w:rsidR="00C748C9">
        <w:t>amtykke</w:t>
      </w:r>
      <w:r>
        <w:t>t</w:t>
      </w:r>
      <w:r w:rsidR="00C748C9">
        <w:t xml:space="preserve"> er frivilligt, og kan til enhver tid trække</w:t>
      </w:r>
      <w:r w:rsidR="000C7233">
        <w:t>s</w:t>
      </w:r>
      <w:r w:rsidR="00C748C9">
        <w:t xml:space="preserve"> tilbage. Dette kan gøre</w:t>
      </w:r>
      <w:r w:rsidR="000C7233">
        <w:t>s</w:t>
      </w:r>
      <w:r w:rsidR="00C748C9">
        <w:t xml:space="preserve"> ved at kontakte Fonden på de kontaktoplysninger, der er anført nedenfor. Hvis </w:t>
      </w:r>
      <w:r w:rsidR="000C7233">
        <w:t xml:space="preserve">samtykket trækkes </w:t>
      </w:r>
      <w:r w:rsidR="00C748C9">
        <w:t>tilbage, påvirker det ikke lovligheden af Fondens behandling af persondata på baggrund af d</w:t>
      </w:r>
      <w:r>
        <w:t>et</w:t>
      </w:r>
      <w:r w:rsidR="00C748C9">
        <w:t xml:space="preserve"> tidligere meddelte samtykke og op til tidspunktet for tilbagetrækningen. Hvis </w:t>
      </w:r>
      <w:r w:rsidR="000C7233">
        <w:t xml:space="preserve">samtykket </w:t>
      </w:r>
      <w:r w:rsidR="00C748C9">
        <w:t>trække</w:t>
      </w:r>
      <w:r w:rsidR="000C7233">
        <w:t>s</w:t>
      </w:r>
      <w:r w:rsidR="00C748C9">
        <w:t xml:space="preserve"> tilbage, har det derfor først virkning fra dette tidspunkt, hvorefter Fonden ikke behandler ansøgning</w:t>
      </w:r>
      <w:r w:rsidR="000C7233">
        <w:t>en</w:t>
      </w:r>
      <w:r w:rsidR="00C748C9">
        <w:t xml:space="preserve"> yderligere.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ind w:left="-5" w:right="0"/>
      </w:pPr>
      <w:r>
        <w:t xml:space="preserve">Når Fonden har modtaget en ansøgning, så indsamler, behandler, og opbevarer Fonden kun de persondata om </w:t>
      </w:r>
      <w:r w:rsidR="000C7233">
        <w:t>ansøger</w:t>
      </w:r>
      <w:r>
        <w:t>, der er nødvendige i forhold til fondens formål; det vil sige, at der er tale om oplysninger, der er relevante og tilstrækkelige i forhold til behandling af ansøgning</w:t>
      </w:r>
      <w:r w:rsidR="000C7233">
        <w:t>en</w:t>
      </w:r>
      <w:r>
        <w:t xml:space="preserve"> til Fonden. Fonden gør således ikke brug af flere oplysninger end dem, Fonden har brug for i forbindelse med ansøgning</w:t>
      </w:r>
      <w:r w:rsidR="000C7233">
        <w:t>en</w:t>
      </w:r>
      <w:r>
        <w:t xml:space="preserve">.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pStyle w:val="Overskrift2"/>
        <w:ind w:left="-5"/>
      </w:pPr>
      <w:r>
        <w:t>Sikkerhed og opbevaring af personoplysninger</w:t>
      </w:r>
      <w:r>
        <w:rPr>
          <w:u w:val="none"/>
        </w:rPr>
        <w:t xml:space="preserve"> </w:t>
      </w:r>
    </w:p>
    <w:p w:rsidR="004515EB" w:rsidRDefault="00C748C9">
      <w:pPr>
        <w:spacing w:after="396"/>
        <w:ind w:left="-5" w:right="0"/>
      </w:pPr>
      <w:r>
        <w:t xml:space="preserve">Hos Fonden vil det som udgangspunkt kun være bestyrelsen for Fonden og Fondens sekretariat samt Økonomikontor og Fondens bankforbindelse, der får adgang til </w:t>
      </w:r>
      <w:r w:rsidR="000C7233">
        <w:t>ansøgers</w:t>
      </w:r>
      <w:r>
        <w:t xml:space="preserve"> personoplysninger. </w:t>
      </w:r>
    </w:p>
    <w:p w:rsidR="004515EB" w:rsidRDefault="00C748C9">
      <w:pPr>
        <w:spacing w:after="396"/>
        <w:ind w:left="-5" w:right="0"/>
      </w:pPr>
      <w:r>
        <w:t>Fondens bestyrelse får adgang, fordi de behandler ansøgning</w:t>
      </w:r>
      <w:r w:rsidR="000C7233">
        <w:t>en</w:t>
      </w:r>
      <w:r>
        <w:t xml:space="preserve">, og Fondens sekretariat får adgang, fordi de yder bistand til fondsbestyrelsen med administrative opgaver relateret til Fondens arbejde, herunder fondsansøgningerne, ligesom Økonomikontoret og Fondens bankforbindelse får adgang, såfremt </w:t>
      </w:r>
      <w:r w:rsidR="000C7233">
        <w:t xml:space="preserve">ansøger </w:t>
      </w:r>
      <w:r>
        <w:t xml:space="preserve">får et legat, med henblik på at foretage udbetaling til </w:t>
      </w:r>
      <w:r w:rsidR="000C7233">
        <w:t xml:space="preserve">ansøger/uddannelsesinstitution </w:t>
      </w:r>
      <w:r>
        <w:t xml:space="preserve">fra Fonden.  </w:t>
      </w:r>
    </w:p>
    <w:p w:rsidR="004515EB" w:rsidRDefault="00C748C9">
      <w:pPr>
        <w:spacing w:after="399"/>
        <w:ind w:left="-5" w:right="0"/>
      </w:pPr>
      <w:r>
        <w:t xml:space="preserve">Fonden kontrollerer, at de persondata, Fonden behandler om </w:t>
      </w:r>
      <w:r w:rsidR="000C7233">
        <w:t>ansøger</w:t>
      </w:r>
      <w:r w:rsidR="00A5645F">
        <w:t>e</w:t>
      </w:r>
      <w:r>
        <w:t xml:space="preserve">, ikke er urigtige eller vildledende. Fonden sørger også for at opdatere </w:t>
      </w:r>
      <w:r w:rsidR="00C954E4">
        <w:t xml:space="preserve">de meddelte </w:t>
      </w:r>
      <w:r>
        <w:t xml:space="preserve">persondata efter behov.  </w:t>
      </w:r>
    </w:p>
    <w:p w:rsidR="004515EB" w:rsidRDefault="00C748C9">
      <w:pPr>
        <w:ind w:left="-5" w:right="0"/>
      </w:pPr>
      <w:r>
        <w:t xml:space="preserve">Fonden anvender derudover løsninger, der sikrer, at data kun er tilgængelige for relevante medarbejdere i Fonden.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ind w:left="-5" w:right="0"/>
      </w:pPr>
      <w:r>
        <w:t xml:space="preserve">I tilfælde af sikkerhedsbrud, der medfører høj risiko for dig for tab af rettigheder eller anden væsentlig ulempe, vil Fonden underrette </w:t>
      </w:r>
      <w:r w:rsidR="000C7233">
        <w:t>ansøger</w:t>
      </w:r>
      <w:r w:rsidR="00A5645F">
        <w:t>e</w:t>
      </w:r>
      <w:r w:rsidR="00C954E4">
        <w:t xml:space="preserve"> </w:t>
      </w:r>
      <w:r>
        <w:t xml:space="preserve">om sikkerhedsbruddet så hurtigt som muligt.     </w:t>
      </w:r>
    </w:p>
    <w:p w:rsidR="004515EB" w:rsidRDefault="00C748C9">
      <w:pPr>
        <w:pStyle w:val="Overskrift2"/>
        <w:ind w:left="-5"/>
      </w:pPr>
      <w:r>
        <w:lastRenderedPageBreak/>
        <w:t>Sletning af personoplysninger</w:t>
      </w:r>
      <w:r>
        <w:rPr>
          <w:u w:val="none"/>
        </w:rPr>
        <w:t xml:space="preserve"> </w:t>
      </w:r>
    </w:p>
    <w:p w:rsidR="004515EB" w:rsidRDefault="00C748C9">
      <w:pPr>
        <w:ind w:left="-5" w:right="0"/>
      </w:pPr>
      <w:r>
        <w:t xml:space="preserve">Fonden sletter </w:t>
      </w:r>
      <w:r w:rsidR="00C954E4">
        <w:t xml:space="preserve">de meddelte </w:t>
      </w:r>
      <w:r>
        <w:t xml:space="preserve">persondata, når de ikke længere er nødvendige i forhold til det formål, som var grunden til Fondens indsamling, behandling og opbevaring af dine data.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pStyle w:val="Overskrift2"/>
        <w:ind w:left="-5"/>
      </w:pPr>
      <w:r>
        <w:t>Videregivelse af oplysninger</w:t>
      </w:r>
      <w:r>
        <w:rPr>
          <w:u w:val="none"/>
        </w:rPr>
        <w:t xml:space="preserve"> </w:t>
      </w:r>
    </w:p>
    <w:p w:rsidR="004515EB" w:rsidRDefault="00C748C9">
      <w:pPr>
        <w:ind w:left="-5" w:right="0"/>
      </w:pPr>
      <w:r>
        <w:t xml:space="preserve">Fonden videregiver persondata til forskellige myndigheder, når det er nødvendigt, herunder hvis det følger af lovgivningen, at Fonden skal videregive oplysningerne. Oplysningerne videregives da på sikker vis, herunder i krypteret form. Det kan fx være til Civilstyrelsen, der er fondsmyndighed for Fonden, og til Skattestyrelsen.   </w:t>
      </w:r>
    </w:p>
    <w:p w:rsidR="004515EB" w:rsidRDefault="00C748C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515EB" w:rsidRDefault="00C748C9">
      <w:pPr>
        <w:pStyle w:val="Overskrift2"/>
        <w:ind w:left="-5"/>
      </w:pPr>
      <w:r>
        <w:t>Rettigheder</w:t>
      </w:r>
      <w:r>
        <w:rPr>
          <w:u w:val="none"/>
        </w:rPr>
        <w:t xml:space="preserve"> </w:t>
      </w:r>
    </w:p>
    <w:p w:rsidR="004515EB" w:rsidRDefault="00681901" w:rsidP="005C0B24">
      <w:pPr>
        <w:ind w:left="-5" w:right="0"/>
        <w:rPr>
          <w:b/>
        </w:rPr>
      </w:pPr>
      <w:r>
        <w:t>A</w:t>
      </w:r>
      <w:r w:rsidR="00C748C9">
        <w:t>nsøger</w:t>
      </w:r>
      <w:r w:rsidR="00A5645F">
        <w:t>e</w:t>
      </w:r>
      <w:r>
        <w:t xml:space="preserve"> har</w:t>
      </w:r>
      <w:r w:rsidR="00C954E4">
        <w:t xml:space="preserve"> e</w:t>
      </w:r>
      <w:r w:rsidR="00C748C9">
        <w:t>fter databeskyttelsesforordningen en række rettigheder i forhold til Fondens behandling af oplysninger</w:t>
      </w:r>
      <w:r>
        <w:t>:</w:t>
      </w:r>
      <w:r w:rsidR="00C748C9">
        <w:t xml:space="preserve">  </w:t>
      </w:r>
      <w:r w:rsidR="00C748C9">
        <w:rPr>
          <w:b/>
        </w:rPr>
        <w:t xml:space="preserve"> </w:t>
      </w:r>
    </w:p>
    <w:p w:rsidR="005C0B24" w:rsidRDefault="005C0B24" w:rsidP="005C0B24">
      <w:pPr>
        <w:ind w:left="-5" w:right="0"/>
      </w:pPr>
    </w:p>
    <w:p w:rsidR="004515EB" w:rsidRDefault="00C748C9">
      <w:pPr>
        <w:numPr>
          <w:ilvl w:val="0"/>
          <w:numId w:val="2"/>
        </w:numPr>
        <w:spacing w:after="0" w:line="259" w:lineRule="auto"/>
        <w:ind w:right="0" w:hanging="360"/>
      </w:pPr>
      <w:r>
        <w:rPr>
          <w:u w:val="single" w:color="000000"/>
        </w:rPr>
        <w:t>Ret til at se oplysninger (indsigtsret)</w:t>
      </w:r>
      <w:r>
        <w:t xml:space="preserve"> </w:t>
      </w:r>
    </w:p>
    <w:p w:rsidR="004515EB" w:rsidRDefault="00681901">
      <w:pPr>
        <w:ind w:left="730" w:right="0"/>
      </w:pPr>
      <w:r>
        <w:t>Ret ti</w:t>
      </w:r>
      <w:r w:rsidR="00C748C9">
        <w:t xml:space="preserve">l at få indsigt i de oplysninger, som Fonden behandler om </w:t>
      </w:r>
      <w:r>
        <w:t>ansøger</w:t>
      </w:r>
      <w:r w:rsidR="00964AB5">
        <w:t>e.</w:t>
      </w:r>
      <w:r w:rsidR="00C748C9">
        <w:t xml:space="preserve">  </w:t>
      </w:r>
    </w:p>
    <w:p w:rsidR="004515EB" w:rsidRDefault="00C748C9">
      <w:pPr>
        <w:spacing w:after="11" w:line="259" w:lineRule="auto"/>
        <w:ind w:left="0" w:right="0" w:firstLine="0"/>
      </w:pPr>
      <w:r>
        <w:t xml:space="preserve"> </w:t>
      </w:r>
    </w:p>
    <w:p w:rsidR="004515EB" w:rsidRDefault="00C748C9">
      <w:pPr>
        <w:numPr>
          <w:ilvl w:val="0"/>
          <w:numId w:val="2"/>
        </w:numPr>
        <w:spacing w:after="0" w:line="259" w:lineRule="auto"/>
        <w:ind w:right="0" w:hanging="360"/>
      </w:pPr>
      <w:r>
        <w:rPr>
          <w:u w:val="single" w:color="000000"/>
        </w:rPr>
        <w:t>Ret til berigtigelse</w:t>
      </w:r>
      <w:r>
        <w:t xml:space="preserve"> </w:t>
      </w:r>
    </w:p>
    <w:p w:rsidR="004515EB" w:rsidRDefault="00681901">
      <w:pPr>
        <w:ind w:left="730" w:right="0"/>
      </w:pPr>
      <w:r>
        <w:t>R</w:t>
      </w:r>
      <w:r w:rsidR="00C748C9">
        <w:t xml:space="preserve">et til at få urigtige oplysninger om </w:t>
      </w:r>
      <w:r>
        <w:t>ansøger/værge</w:t>
      </w:r>
      <w:r w:rsidR="00C748C9">
        <w:t xml:space="preserve"> rettet. </w:t>
      </w:r>
    </w:p>
    <w:p w:rsidR="004515EB" w:rsidRDefault="00C748C9">
      <w:pPr>
        <w:spacing w:after="10" w:line="259" w:lineRule="auto"/>
        <w:ind w:left="720" w:right="0" w:firstLine="0"/>
      </w:pPr>
      <w:r>
        <w:t xml:space="preserve">  </w:t>
      </w:r>
    </w:p>
    <w:p w:rsidR="004515EB" w:rsidRDefault="00C748C9">
      <w:pPr>
        <w:pStyle w:val="Overskrift2"/>
        <w:tabs>
          <w:tab w:val="center" w:pos="400"/>
          <w:tab w:val="center" w:pos="1421"/>
        </w:tabs>
        <w:ind w:left="0" w:firstLine="0"/>
      </w:pPr>
      <w:r>
        <w:rPr>
          <w:sz w:val="22"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>-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Ret til sletning</w:t>
      </w:r>
      <w:r>
        <w:rPr>
          <w:u w:val="none"/>
        </w:rPr>
        <w:t xml:space="preserve"> </w:t>
      </w:r>
    </w:p>
    <w:p w:rsidR="004515EB" w:rsidRDefault="00681901">
      <w:pPr>
        <w:ind w:left="730" w:right="0"/>
      </w:pPr>
      <w:r>
        <w:t>I</w:t>
      </w:r>
      <w:r w:rsidR="00C748C9">
        <w:t xml:space="preserve"> særlige tilfælde ret til at få slettet oplysninger om</w:t>
      </w:r>
      <w:r>
        <w:t xml:space="preserve"> ansøger</w:t>
      </w:r>
      <w:r w:rsidR="00964AB5">
        <w:t>e</w:t>
      </w:r>
      <w:r w:rsidR="00C748C9">
        <w:t xml:space="preserve">, inden tidspunktet for Fondens almindelige generelle sletning sker. </w:t>
      </w:r>
    </w:p>
    <w:p w:rsidR="004515EB" w:rsidRDefault="00C748C9">
      <w:pPr>
        <w:spacing w:after="15" w:line="259" w:lineRule="auto"/>
        <w:ind w:left="0" w:right="0" w:firstLine="0"/>
      </w:pPr>
      <w:r>
        <w:t xml:space="preserve"> </w:t>
      </w:r>
    </w:p>
    <w:p w:rsidR="004515EB" w:rsidRDefault="00C748C9">
      <w:pPr>
        <w:tabs>
          <w:tab w:val="center" w:pos="400"/>
          <w:tab w:val="center" w:pos="236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u w:val="single" w:color="000000"/>
        </w:rPr>
        <w:t>Ret til begrænsning af behandling</w:t>
      </w:r>
      <w:r>
        <w:t xml:space="preserve"> </w:t>
      </w:r>
    </w:p>
    <w:p w:rsidR="004515EB" w:rsidRDefault="00681901">
      <w:pPr>
        <w:ind w:left="730" w:right="0"/>
      </w:pPr>
      <w:r>
        <w:t xml:space="preserve">Ret til </w:t>
      </w:r>
      <w:r w:rsidR="00C748C9">
        <w:t xml:space="preserve">i visse tilfælde at få behandlingen af </w:t>
      </w:r>
      <w:r>
        <w:t>ansøger</w:t>
      </w:r>
      <w:r w:rsidR="00964AB5">
        <w:t>e</w:t>
      </w:r>
      <w:r>
        <w:t xml:space="preserve">s </w:t>
      </w:r>
      <w:r w:rsidR="00C748C9">
        <w:t xml:space="preserve">persondata begrænset.  </w:t>
      </w:r>
    </w:p>
    <w:p w:rsidR="004515EB" w:rsidRDefault="00C748C9">
      <w:pPr>
        <w:spacing w:after="11" w:line="259" w:lineRule="auto"/>
        <w:ind w:left="0" w:right="0" w:firstLine="0"/>
      </w:pPr>
      <w:r>
        <w:rPr>
          <w:b/>
        </w:rPr>
        <w:t xml:space="preserve"> </w:t>
      </w:r>
    </w:p>
    <w:p w:rsidR="004515EB" w:rsidRDefault="00C748C9">
      <w:pPr>
        <w:pStyle w:val="Overskrift2"/>
        <w:tabs>
          <w:tab w:val="center" w:pos="400"/>
          <w:tab w:val="center" w:pos="1514"/>
        </w:tabs>
        <w:ind w:left="0" w:firstLine="0"/>
      </w:pPr>
      <w:r>
        <w:rPr>
          <w:sz w:val="22"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>-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Ret til indsigelse</w:t>
      </w:r>
      <w:r>
        <w:rPr>
          <w:u w:val="none"/>
        </w:rPr>
        <w:t xml:space="preserve"> </w:t>
      </w:r>
    </w:p>
    <w:p w:rsidR="004515EB" w:rsidRDefault="00681901">
      <w:pPr>
        <w:ind w:left="730" w:right="0"/>
      </w:pPr>
      <w:r>
        <w:t xml:space="preserve">Ret til </w:t>
      </w:r>
      <w:r w:rsidR="00C748C9">
        <w:t>i visse tilfælde at gøre indsigelse mod Fondens behandling af</w:t>
      </w:r>
      <w:r w:rsidR="00C954E4">
        <w:t xml:space="preserve"> </w:t>
      </w:r>
      <w:r>
        <w:t>ansøger</w:t>
      </w:r>
      <w:r w:rsidR="00964AB5">
        <w:t>e</w:t>
      </w:r>
      <w:r>
        <w:t>s</w:t>
      </w:r>
      <w:r w:rsidR="00C748C9">
        <w:t xml:space="preserve"> persondata.  </w:t>
      </w:r>
    </w:p>
    <w:p w:rsidR="005C0B24" w:rsidRDefault="005C0B24">
      <w:pPr>
        <w:ind w:left="730" w:right="0"/>
      </w:pPr>
    </w:p>
    <w:p w:rsidR="004515EB" w:rsidRDefault="00C748C9" w:rsidP="005C0B24">
      <w:pPr>
        <w:spacing w:after="0" w:line="259" w:lineRule="auto"/>
        <w:ind w:left="0" w:right="0" w:firstLine="0"/>
      </w:pPr>
      <w:r>
        <w:t xml:space="preserve">Hvis </w:t>
      </w:r>
      <w:r w:rsidR="00681901">
        <w:t>ansøger</w:t>
      </w:r>
      <w:r w:rsidR="00A5645F">
        <w:t xml:space="preserve">e </w:t>
      </w:r>
      <w:r>
        <w:t>ønsker at gøre brug af disse rettigheder, bedes Fonden</w:t>
      </w:r>
      <w:r w:rsidR="00681901">
        <w:t xml:space="preserve"> kontaktet</w:t>
      </w:r>
      <w:r>
        <w:t xml:space="preserve">. </w:t>
      </w:r>
      <w:r w:rsidR="00681901">
        <w:t>Se</w:t>
      </w:r>
      <w:r>
        <w:t xml:space="preserve"> mere om rettigheder</w:t>
      </w:r>
      <w:r w:rsidR="00C954E4">
        <w:t>ne</w:t>
      </w:r>
      <w:r>
        <w:t xml:space="preserve"> i Datatilsynets vejledning om de registreredes rettigheder, som kan se</w:t>
      </w:r>
      <w:r w:rsidR="00C954E4">
        <w:t>s</w:t>
      </w:r>
      <w:r>
        <w:t xml:space="preserve"> på </w:t>
      </w:r>
      <w:hyperlink r:id="rId9">
        <w:r>
          <w:rPr>
            <w:color w:val="0563C1"/>
            <w:u w:val="single" w:color="0563C1"/>
          </w:rPr>
          <w:t>www.datatilsynet.dk</w:t>
        </w:r>
      </w:hyperlink>
      <w:hyperlink r:id="rId10">
        <w:r>
          <w:t xml:space="preserve"> </w:t>
        </w:r>
      </w:hyperlink>
    </w:p>
    <w:p w:rsidR="004515EB" w:rsidRDefault="00C748C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515EB" w:rsidRDefault="00C748C9" w:rsidP="005C0B24">
      <w:pPr>
        <w:spacing w:after="0" w:line="259" w:lineRule="auto"/>
        <w:ind w:left="0" w:right="0" w:firstLine="0"/>
      </w:pPr>
      <w:r>
        <w:rPr>
          <w:u w:val="single" w:color="000000"/>
        </w:rPr>
        <w:t>Dataansvarlig</w:t>
      </w:r>
      <w:r>
        <w:t xml:space="preserve"> </w:t>
      </w:r>
    </w:p>
    <w:p w:rsidR="004515EB" w:rsidRDefault="00C748C9">
      <w:pPr>
        <w:ind w:left="-5" w:right="0"/>
      </w:pPr>
      <w:r>
        <w:t>E</w:t>
      </w:r>
      <w:r w:rsidR="009421D1">
        <w:t xml:space="preserve">llen og Herman Egelunds Fond </w:t>
      </w:r>
      <w:r>
        <w:t xml:space="preserve">er dataansvarlig. 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5C0B24" w:rsidRDefault="005C0B24">
      <w:pPr>
        <w:spacing w:after="0" w:line="259" w:lineRule="auto"/>
        <w:ind w:left="0" w:right="0" w:firstLine="0"/>
      </w:pPr>
    </w:p>
    <w:p w:rsidR="005C0B24" w:rsidRDefault="005C0B24">
      <w:pPr>
        <w:spacing w:after="0" w:line="259" w:lineRule="auto"/>
        <w:ind w:left="0" w:right="0" w:firstLine="0"/>
      </w:pPr>
    </w:p>
    <w:p w:rsidR="005C0B24" w:rsidRDefault="005C0B24">
      <w:pPr>
        <w:spacing w:after="0" w:line="259" w:lineRule="auto"/>
        <w:ind w:left="0" w:right="0" w:firstLine="0"/>
      </w:pPr>
    </w:p>
    <w:p w:rsidR="004515EB" w:rsidRDefault="00C748C9">
      <w:pPr>
        <w:pStyle w:val="Overskrift2"/>
        <w:ind w:left="-5"/>
      </w:pPr>
      <w:r>
        <w:lastRenderedPageBreak/>
        <w:t>Kontaktinformation</w:t>
      </w:r>
      <w:r>
        <w:rPr>
          <w:u w:val="none"/>
        </w:rPr>
        <w:t xml:space="preserve"> </w:t>
      </w:r>
    </w:p>
    <w:p w:rsidR="004515EB" w:rsidRDefault="009421D1">
      <w:pPr>
        <w:ind w:left="-5" w:right="0"/>
      </w:pPr>
      <w:r>
        <w:t>Ellen og Herman Egelunds F</w:t>
      </w:r>
      <w:r w:rsidR="00C748C9">
        <w:t xml:space="preserve">ond, Sekretariatet </w:t>
      </w:r>
    </w:p>
    <w:p w:rsidR="004515EB" w:rsidRDefault="00C748C9">
      <w:pPr>
        <w:ind w:left="-5" w:right="0"/>
      </w:pPr>
      <w:r>
        <w:t xml:space="preserve">C/O Københavns Vestegns Politi </w:t>
      </w:r>
    </w:p>
    <w:p w:rsidR="004515EB" w:rsidRDefault="00C748C9">
      <w:pPr>
        <w:ind w:left="-5" w:right="0"/>
      </w:pPr>
      <w:r>
        <w:t xml:space="preserve">Birkelundsvej 2, </w:t>
      </w:r>
    </w:p>
    <w:p w:rsidR="004515EB" w:rsidRDefault="00C748C9">
      <w:pPr>
        <w:ind w:left="-5" w:right="0"/>
      </w:pPr>
      <w:r>
        <w:t xml:space="preserve">2620 Albertslund </w:t>
      </w:r>
    </w:p>
    <w:p w:rsidR="004515EB" w:rsidRDefault="00C748C9">
      <w:pPr>
        <w:ind w:left="-5" w:right="0"/>
      </w:pPr>
      <w:r>
        <w:t xml:space="preserve">e-mail adresse: </w:t>
      </w:r>
      <w:r>
        <w:rPr>
          <w:color w:val="0563C1"/>
          <w:u w:val="single" w:color="0563C1"/>
        </w:rPr>
        <w:t>KBHV@politi.dk</w:t>
      </w:r>
      <w:r>
        <w:t xml:space="preserve">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ind w:left="-5" w:right="0"/>
      </w:pPr>
      <w:r>
        <w:t xml:space="preserve">Telefon: 43 86 14 48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</w:p>
    <w:p w:rsidR="004515EB" w:rsidRDefault="00C748C9">
      <w:pPr>
        <w:spacing w:after="0" w:line="259" w:lineRule="auto"/>
        <w:ind w:left="0" w:right="0" w:firstLine="0"/>
      </w:pPr>
      <w:r>
        <w:t xml:space="preserve"> </w:t>
      </w:r>
      <w:r>
        <w:rPr>
          <w:b/>
        </w:rPr>
        <w:t xml:space="preserve"> </w:t>
      </w:r>
    </w:p>
    <w:p w:rsidR="004515EB" w:rsidRDefault="00C748C9">
      <w:pPr>
        <w:pStyle w:val="Overskrift2"/>
        <w:ind w:left="-5"/>
      </w:pPr>
      <w:r>
        <w:t>Klage til Datatilsynet</w:t>
      </w:r>
      <w:r>
        <w:rPr>
          <w:u w:val="none"/>
        </w:rPr>
        <w:t xml:space="preserve">  </w:t>
      </w:r>
    </w:p>
    <w:p w:rsidR="004515EB" w:rsidRDefault="00681901">
      <w:pPr>
        <w:ind w:left="-5" w:right="0"/>
      </w:pPr>
      <w:r>
        <w:t>Ansøger</w:t>
      </w:r>
      <w:r w:rsidR="00A5645F">
        <w:t xml:space="preserve">e </w:t>
      </w:r>
      <w:r w:rsidR="00C748C9">
        <w:t xml:space="preserve">har ret til at klage til Datatilsynet, hvis </w:t>
      </w:r>
      <w:r>
        <w:t>ansøger</w:t>
      </w:r>
      <w:r w:rsidR="006F4ECA">
        <w:t>e</w:t>
      </w:r>
      <w:r>
        <w:t xml:space="preserve"> </w:t>
      </w:r>
      <w:r w:rsidR="00C748C9">
        <w:t xml:space="preserve">er utilfreds med den måde, </w:t>
      </w:r>
      <w:r>
        <w:t xml:space="preserve">Fonden </w:t>
      </w:r>
      <w:r w:rsidR="00C748C9">
        <w:t>behandler</w:t>
      </w:r>
      <w:r w:rsidR="00C954E4">
        <w:t xml:space="preserve"> </w:t>
      </w:r>
      <w:r>
        <w:t>ansøger</w:t>
      </w:r>
      <w:r w:rsidR="005C0B24">
        <w:t>e</w:t>
      </w:r>
      <w:r>
        <w:t>s</w:t>
      </w:r>
      <w:r w:rsidR="00C748C9">
        <w:t xml:space="preserve"> persondata på. Datatilsynets kontaktoplysninger </w:t>
      </w:r>
      <w:r>
        <w:t xml:space="preserve">kan ses </w:t>
      </w:r>
      <w:r w:rsidR="00C748C9">
        <w:t xml:space="preserve">på </w:t>
      </w:r>
      <w:hyperlink r:id="rId11">
        <w:r w:rsidR="00C748C9">
          <w:rPr>
            <w:color w:val="0563C1"/>
            <w:u w:val="single" w:color="0563C1"/>
          </w:rPr>
          <w:t>www.datatilsynet.dk</w:t>
        </w:r>
      </w:hyperlink>
      <w:hyperlink r:id="rId12">
        <w:r w:rsidR="00C748C9">
          <w:rPr>
            <w:b/>
          </w:rPr>
          <w:t xml:space="preserve"> </w:t>
        </w:r>
      </w:hyperlink>
    </w:p>
    <w:sectPr w:rsidR="004515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58" w:right="1132" w:bottom="1904" w:left="1133" w:header="791" w:footer="7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9D" w:rsidRDefault="00C748C9">
      <w:pPr>
        <w:spacing w:after="0" w:line="240" w:lineRule="auto"/>
      </w:pPr>
      <w:r>
        <w:separator/>
      </w:r>
    </w:p>
  </w:endnote>
  <w:endnote w:type="continuationSeparator" w:id="0">
    <w:p w:rsidR="003B4B9D" w:rsidRDefault="00C7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EB" w:rsidRDefault="00C748C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515EB" w:rsidRDefault="00C748C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EB" w:rsidRDefault="00C748C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6788" w:rsidRPr="00C76788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515EB" w:rsidRDefault="00C748C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EB" w:rsidRDefault="00C748C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6788" w:rsidRPr="00C76788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515EB" w:rsidRDefault="00C748C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9D" w:rsidRDefault="00C748C9">
      <w:pPr>
        <w:spacing w:after="0" w:line="240" w:lineRule="auto"/>
      </w:pPr>
      <w:r>
        <w:separator/>
      </w:r>
    </w:p>
  </w:footnote>
  <w:footnote w:type="continuationSeparator" w:id="0">
    <w:p w:rsidR="003B4B9D" w:rsidRDefault="00C7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EB" w:rsidRPr="009421D1" w:rsidRDefault="00C748C9">
    <w:pPr>
      <w:spacing w:after="0" w:line="259" w:lineRule="auto"/>
      <w:ind w:left="0" w:right="3" w:firstLine="0"/>
      <w:jc w:val="center"/>
      <w:rPr>
        <w:lang w:val="en-US"/>
      </w:rPr>
    </w:pPr>
    <w:proofErr w:type="spellStart"/>
    <w:r w:rsidRPr="009421D1">
      <w:rPr>
        <w:rFonts w:ascii="Cambria" w:eastAsia="Cambria" w:hAnsi="Cambria" w:cs="Cambria"/>
        <w:b/>
        <w:sz w:val="48"/>
        <w:lang w:val="en-US"/>
      </w:rPr>
      <w:t>Ejner</w:t>
    </w:r>
    <w:proofErr w:type="spellEnd"/>
    <w:r w:rsidRPr="009421D1">
      <w:rPr>
        <w:rFonts w:ascii="Cambria" w:eastAsia="Cambria" w:hAnsi="Cambria" w:cs="Cambria"/>
        <w:b/>
        <w:sz w:val="48"/>
        <w:lang w:val="en-US"/>
      </w:rPr>
      <w:t xml:space="preserve"> Christian </w:t>
    </w:r>
    <w:proofErr w:type="spellStart"/>
    <w:r w:rsidRPr="009421D1">
      <w:rPr>
        <w:rFonts w:ascii="Cambria" w:eastAsia="Cambria" w:hAnsi="Cambria" w:cs="Cambria"/>
        <w:b/>
        <w:sz w:val="48"/>
        <w:lang w:val="en-US"/>
      </w:rPr>
      <w:t>Christensens</w:t>
    </w:r>
    <w:proofErr w:type="spellEnd"/>
    <w:r w:rsidRPr="009421D1">
      <w:rPr>
        <w:rFonts w:ascii="Cambria" w:eastAsia="Cambria" w:hAnsi="Cambria" w:cs="Cambria"/>
        <w:b/>
        <w:sz w:val="48"/>
        <w:lang w:val="en-US"/>
      </w:rPr>
      <w:t xml:space="preserve"> fond </w:t>
    </w:r>
  </w:p>
  <w:p w:rsidR="004515EB" w:rsidRPr="009421D1" w:rsidRDefault="00C748C9">
    <w:pPr>
      <w:spacing w:after="36" w:line="259" w:lineRule="auto"/>
      <w:ind w:left="0" w:right="5" w:firstLine="0"/>
      <w:jc w:val="center"/>
      <w:rPr>
        <w:lang w:val="en-US"/>
      </w:rPr>
    </w:pPr>
    <w:r w:rsidRPr="009421D1">
      <w:rPr>
        <w:rFonts w:ascii="Cambria" w:eastAsia="Cambria" w:hAnsi="Cambria" w:cs="Cambria"/>
        <w:sz w:val="28"/>
        <w:lang w:val="en-US"/>
      </w:rPr>
      <w:t xml:space="preserve">                                                                                                 Albertslund </w:t>
    </w:r>
  </w:p>
  <w:p w:rsidR="004515EB" w:rsidRPr="009421D1" w:rsidRDefault="00C748C9">
    <w:pPr>
      <w:spacing w:after="0" w:line="259" w:lineRule="auto"/>
      <w:ind w:left="0" w:right="0" w:firstLine="0"/>
      <w:rPr>
        <w:lang w:val="en-US"/>
      </w:rPr>
    </w:pPr>
    <w:r w:rsidRPr="009421D1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EB" w:rsidRDefault="00C748C9">
    <w:pPr>
      <w:spacing w:after="0" w:line="259" w:lineRule="auto"/>
      <w:ind w:left="0" w:right="3" w:firstLine="0"/>
      <w:jc w:val="center"/>
    </w:pPr>
    <w:r>
      <w:rPr>
        <w:rFonts w:ascii="Cambria" w:eastAsia="Cambria" w:hAnsi="Cambria" w:cs="Cambria"/>
        <w:b/>
        <w:sz w:val="48"/>
      </w:rPr>
      <w:t>E</w:t>
    </w:r>
    <w:r w:rsidR="009421D1">
      <w:rPr>
        <w:rFonts w:ascii="Cambria" w:eastAsia="Cambria" w:hAnsi="Cambria" w:cs="Cambria"/>
        <w:b/>
        <w:sz w:val="48"/>
      </w:rPr>
      <w:t>llen og Herman Egelunds Fond</w:t>
    </w:r>
    <w:r>
      <w:rPr>
        <w:rFonts w:ascii="Cambria" w:eastAsia="Cambria" w:hAnsi="Cambria" w:cs="Cambria"/>
        <w:b/>
        <w:sz w:val="48"/>
      </w:rPr>
      <w:t xml:space="preserve"> </w:t>
    </w:r>
  </w:p>
  <w:p w:rsidR="004515EB" w:rsidRDefault="00C748C9">
    <w:pPr>
      <w:spacing w:after="36" w:line="259" w:lineRule="auto"/>
      <w:ind w:left="0" w:right="5" w:firstLine="0"/>
      <w:jc w:val="center"/>
    </w:pPr>
    <w:r>
      <w:rPr>
        <w:rFonts w:ascii="Cambria" w:eastAsia="Cambria" w:hAnsi="Cambria" w:cs="Cambria"/>
        <w:sz w:val="28"/>
      </w:rPr>
      <w:t xml:space="preserve">                                                                                                 Albertslund </w:t>
    </w:r>
  </w:p>
  <w:p w:rsidR="004515EB" w:rsidRDefault="00C748C9">
    <w:pPr>
      <w:spacing w:after="0" w:line="259" w:lineRule="auto"/>
      <w:ind w:left="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EB" w:rsidRDefault="00C748C9">
    <w:pPr>
      <w:spacing w:after="0" w:line="259" w:lineRule="auto"/>
      <w:ind w:left="0" w:right="3" w:firstLine="0"/>
      <w:jc w:val="center"/>
    </w:pPr>
    <w:r>
      <w:rPr>
        <w:rFonts w:ascii="Cambria" w:eastAsia="Cambria" w:hAnsi="Cambria" w:cs="Cambria"/>
        <w:b/>
        <w:sz w:val="48"/>
      </w:rPr>
      <w:t>E</w:t>
    </w:r>
    <w:r w:rsidR="009421D1">
      <w:rPr>
        <w:rFonts w:ascii="Cambria" w:eastAsia="Cambria" w:hAnsi="Cambria" w:cs="Cambria"/>
        <w:b/>
        <w:sz w:val="48"/>
      </w:rPr>
      <w:t>llen og Herman Egelunds Fond</w:t>
    </w:r>
    <w:r>
      <w:rPr>
        <w:rFonts w:ascii="Cambria" w:eastAsia="Cambria" w:hAnsi="Cambria" w:cs="Cambria"/>
        <w:b/>
        <w:sz w:val="48"/>
      </w:rPr>
      <w:t xml:space="preserve"> </w:t>
    </w:r>
  </w:p>
  <w:p w:rsidR="004515EB" w:rsidRDefault="00C748C9">
    <w:pPr>
      <w:spacing w:after="0" w:line="259" w:lineRule="auto"/>
      <w:ind w:left="0" w:right="5" w:firstLine="0"/>
      <w:jc w:val="center"/>
    </w:pPr>
    <w:r>
      <w:rPr>
        <w:rFonts w:ascii="Cambria" w:eastAsia="Cambria" w:hAnsi="Cambria" w:cs="Cambria"/>
        <w:sz w:val="28"/>
      </w:rPr>
      <w:t xml:space="preserve">                                                                                                 Albertslund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00B"/>
    <w:multiLevelType w:val="hybridMultilevel"/>
    <w:tmpl w:val="74204B12"/>
    <w:lvl w:ilvl="0" w:tplc="4056A04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0F1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EAEE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89A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8E4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C13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BA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4C4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0A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3B1139"/>
    <w:multiLevelType w:val="hybridMultilevel"/>
    <w:tmpl w:val="F7AAC458"/>
    <w:lvl w:ilvl="0" w:tplc="DDE2E64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0D1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01A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45CD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4B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C00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EB7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8C1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C73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EB"/>
    <w:rsid w:val="000B116D"/>
    <w:rsid w:val="000C7233"/>
    <w:rsid w:val="003432AC"/>
    <w:rsid w:val="003B4B9D"/>
    <w:rsid w:val="004515EB"/>
    <w:rsid w:val="00462117"/>
    <w:rsid w:val="005C0B24"/>
    <w:rsid w:val="005C5FD9"/>
    <w:rsid w:val="00620924"/>
    <w:rsid w:val="006521F3"/>
    <w:rsid w:val="00681901"/>
    <w:rsid w:val="006F4ECA"/>
    <w:rsid w:val="00924EBC"/>
    <w:rsid w:val="009421D1"/>
    <w:rsid w:val="00952A74"/>
    <w:rsid w:val="00964AB5"/>
    <w:rsid w:val="00A5645F"/>
    <w:rsid w:val="00AA2117"/>
    <w:rsid w:val="00AE0694"/>
    <w:rsid w:val="00C748C9"/>
    <w:rsid w:val="00C76788"/>
    <w:rsid w:val="00C954E4"/>
    <w:rsid w:val="00DF426D"/>
    <w:rsid w:val="00DF6633"/>
    <w:rsid w:val="00E11109"/>
    <w:rsid w:val="00E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4FAEDE"/>
  <w15:docId w15:val="{37BC76AD-311D-4A0E-A219-0DEBC27B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2" w:hanging="10"/>
    </w:pPr>
    <w:rPr>
      <w:rFonts w:ascii="Calibri" w:eastAsia="Calibri" w:hAnsi="Calibri" w:cs="Calibri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11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.dk/KBHVfon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liti.dk/KBHVfond" TargetMode="External"/><Relationship Id="rId12" Type="http://schemas.openxmlformats.org/officeDocument/2006/relationships/hyperlink" Target="http://www.datatilsynet.d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tilsynet.d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tatilsynet.d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tatilsynet.dk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Jeanette Miriam Wulf-Andersen</dc:creator>
  <cp:keywords/>
  <cp:lastModifiedBy>Wulf-Andersen, Jeanette Miriam (JWU002)</cp:lastModifiedBy>
  <cp:revision>2</cp:revision>
  <cp:lastPrinted>2024-02-27T14:02:00Z</cp:lastPrinted>
  <dcterms:created xsi:type="dcterms:W3CDTF">2025-02-26T13:19:00Z</dcterms:created>
  <dcterms:modified xsi:type="dcterms:W3CDTF">2025-02-26T13:19:00Z</dcterms:modified>
</cp:coreProperties>
</file>