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1E0" w:firstRow="1" w:lastRow="1" w:firstColumn="1" w:lastColumn="1" w:noHBand="0" w:noVBand="0"/>
      </w:tblPr>
      <w:tblGrid>
        <w:gridCol w:w="4038"/>
        <w:gridCol w:w="4054"/>
      </w:tblGrid>
      <w:tr w:rsidR="00B13568">
        <w:trPr>
          <w:trHeight w:hRule="exact" w:val="1260"/>
        </w:trPr>
        <w:tc>
          <w:tcPr>
            <w:tcW w:w="4038" w:type="dxa"/>
          </w:tcPr>
          <w:p w:rsidR="00B13568" w:rsidRDefault="00D31E3D">
            <w:pPr>
              <w:pStyle w:val="Sidehoved"/>
              <w:tabs>
                <w:tab w:val="clear" w:pos="4819"/>
                <w:tab w:val="clear" w:pos="9638"/>
              </w:tabs>
              <w:rPr>
                <w:noProof/>
              </w:rPr>
            </w:pPr>
            <w:r>
              <w:rPr>
                <w:noProof/>
              </w:rPr>
              <mc:AlternateContent>
                <mc:Choice Requires="wps">
                  <w:drawing>
                    <wp:anchor distT="0" distB="0" distL="114300" distR="114300" simplePos="0" relativeHeight="251657728" behindDoc="0" locked="1" layoutInCell="0" allowOverlap="1">
                      <wp:simplePos x="0" y="0"/>
                      <wp:positionH relativeFrom="page">
                        <wp:posOffset>5313045</wp:posOffset>
                      </wp:positionH>
                      <wp:positionV relativeFrom="page">
                        <wp:posOffset>8255</wp:posOffset>
                      </wp:positionV>
                      <wp:extent cx="1434465" cy="36576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8" w:rsidRDefault="008632AD">
                                  <w:pPr>
                                    <w:pStyle w:val="DataKonstant"/>
                                    <w:tabs>
                                      <w:tab w:val="left" w:pos="658"/>
                                    </w:tabs>
                                    <w:rPr>
                                      <w:b/>
                                      <w:caps/>
                                    </w:rPr>
                                  </w:pPr>
                                  <w:bookmarkStart w:id="0" w:name="TxbHovedafsender"/>
                                  <w:bookmarkEnd w:id="0"/>
                                  <w:r>
                                    <w:rPr>
                                      <w:b/>
                                      <w:caps/>
                                    </w:rPr>
                                    <w:t>Operativ Center</w:t>
                                  </w:r>
                                </w:p>
                                <w:p w:rsidR="00B13568" w:rsidRDefault="008632AD">
                                  <w:pPr>
                                    <w:pStyle w:val="DataKonstant"/>
                                    <w:tabs>
                                      <w:tab w:val="left" w:pos="658"/>
                                    </w:tabs>
                                  </w:pPr>
                                  <w:bookmarkStart w:id="1" w:name="TxbAfdeling"/>
                                  <w:bookmarkEnd w:id="1"/>
                                  <w:r>
                                    <w:t>Operativ Planlægning</w:t>
                                  </w:r>
                                </w:p>
                                <w:p w:rsidR="00B13568" w:rsidRDefault="008632AD">
                                  <w:pPr>
                                    <w:pStyle w:val="DataKonstant"/>
                                    <w:tabs>
                                      <w:tab w:val="left" w:pos="658"/>
                                    </w:tabs>
                                    <w:rPr>
                                      <w:lang w:val="de-DE"/>
                                    </w:rPr>
                                  </w:pPr>
                                  <w:bookmarkStart w:id="2" w:name="TxbUnderafdeling"/>
                                  <w:bookmarkEnd w:id="2"/>
                                  <w:r>
                                    <w:rPr>
                                      <w:lang w:val="de-DE"/>
                                    </w:rPr>
                                    <w:t>RSIOC V</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8.35pt;margin-top:.65pt;width:112.95pt;height:4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" o:allowincell="f" filled="f" stroked="f">
                      <v:textbox inset=",0,0,0">
                        <w:txbxContent>
                          <w:p w:rsidR="00B13568" w:rsidRDefault="008632AD">
                            <w:pPr>
                              <w:pStyle w:val="DataKonstant"/>
                              <w:tabs>
                                <w:tab w:val="left" w:pos="658"/>
                              </w:tabs>
                              <w:rPr>
                                <w:b/>
                                <w:caps/>
                              </w:rPr>
                            </w:pPr>
                            <w:bookmarkStart w:id="3" w:name="TxbHovedafsender"/>
                            <w:bookmarkEnd w:id="3"/>
                            <w:r>
                              <w:rPr>
                                <w:b/>
                                <w:caps/>
                              </w:rPr>
                              <w:t>Operativ Center</w:t>
                            </w:r>
                          </w:p>
                          <w:p w:rsidR="00B13568" w:rsidRDefault="008632AD">
                            <w:pPr>
                              <w:pStyle w:val="DataKonstant"/>
                              <w:tabs>
                                <w:tab w:val="left" w:pos="658"/>
                              </w:tabs>
                            </w:pPr>
                            <w:bookmarkStart w:id="4" w:name="TxbAfdeling"/>
                            <w:bookmarkEnd w:id="4"/>
                            <w:r>
                              <w:t>Operativ Planlægning</w:t>
                            </w:r>
                          </w:p>
                          <w:p w:rsidR="00B13568" w:rsidRDefault="008632AD">
                            <w:pPr>
                              <w:pStyle w:val="DataKonstant"/>
                              <w:tabs>
                                <w:tab w:val="left" w:pos="658"/>
                              </w:tabs>
                              <w:rPr>
                                <w:lang w:val="de-DE"/>
                              </w:rPr>
                            </w:pPr>
                            <w:bookmarkStart w:id="5" w:name="TxbUnderafdeling"/>
                            <w:bookmarkEnd w:id="5"/>
                            <w:r>
                              <w:rPr>
                                <w:lang w:val="de-DE"/>
                              </w:rPr>
                              <w:t>RSIOC V</w:t>
                            </w:r>
                          </w:p>
                        </w:txbxContent>
                      </v:textbox>
                      <w10:wrap anchorx="page" anchory="page"/>
                      <w10:anchorlock/>
                    </v:shape>
                  </w:pict>
                </mc:Fallback>
              </mc:AlternateContent>
            </w:r>
          </w:p>
        </w:tc>
        <w:tc>
          <w:tcPr>
            <w:tcW w:w="4054" w:type="dxa"/>
          </w:tcPr>
          <w:p w:rsidR="00B13568" w:rsidRDefault="008632AD">
            <w:pPr>
              <w:pStyle w:val="DataDynamisk"/>
            </w:pPr>
            <w:bookmarkStart w:id="6" w:name="ChkDato"/>
            <w:bookmarkEnd w:id="6"/>
            <w:r>
              <w:t>4. juli 2024</w:t>
            </w:r>
          </w:p>
          <w:p w:rsidR="00B13568" w:rsidRDefault="008632AD">
            <w:pPr>
              <w:pStyle w:val="DataDynamisk"/>
            </w:pPr>
            <w:bookmarkStart w:id="7" w:name="TxbJournalnummerLab"/>
            <w:bookmarkEnd w:id="7"/>
            <w:r>
              <w:t xml:space="preserve">J.nr.: </w:t>
            </w:r>
            <w:r w:rsidR="00B13568">
              <w:t xml:space="preserve"> </w:t>
            </w:r>
            <w:bookmarkStart w:id="8" w:name="TxbJournalnummer"/>
            <w:bookmarkStart w:id="9" w:name="TxbDokumentNavnPost"/>
            <w:bookmarkStart w:id="10" w:name="TxbDokumentNavn"/>
            <w:bookmarkEnd w:id="8"/>
            <w:bookmarkEnd w:id="9"/>
            <w:bookmarkEnd w:id="10"/>
            <w:r>
              <w:t>J.nr.: 2024-071056</w:t>
            </w:r>
          </w:p>
          <w:p w:rsidR="00B13568" w:rsidRDefault="008632AD">
            <w:pPr>
              <w:pStyle w:val="DataDynamisk"/>
            </w:pPr>
            <w:bookmarkStart w:id="11" w:name="TxbSagsbehandler"/>
            <w:bookmarkEnd w:id="11"/>
            <w:r>
              <w:t>Sagsbehandler: Tommy Byrial Jørgensen</w:t>
            </w:r>
          </w:p>
          <w:p w:rsidR="00B13568" w:rsidRDefault="00B13568">
            <w:pPr>
              <w:pStyle w:val="DataDynamisk"/>
            </w:pPr>
            <w:bookmarkStart w:id="12" w:name="ChkBilag"/>
            <w:bookmarkEnd w:id="12"/>
          </w:p>
        </w:tc>
      </w:tr>
    </w:tbl>
    <w:p w:rsidR="00B13568" w:rsidRDefault="00B13568">
      <w:pPr>
        <w:pStyle w:val="Overskrift1"/>
        <w:spacing w:line="240" w:lineRule="auto"/>
        <w:jc w:val="center"/>
        <w:rPr>
          <w:sz w:val="72"/>
        </w:rPr>
      </w:pPr>
      <w:r>
        <w:rPr>
          <w:sz w:val="72"/>
        </w:rPr>
        <w:t>Notat</w:t>
      </w:r>
    </w:p>
    <w:p w:rsidR="00B13568" w:rsidRDefault="00B13568"/>
    <w:p w:rsidR="008632AD" w:rsidRDefault="008632AD" w:rsidP="008632AD">
      <w:pPr>
        <w:jc w:val="center"/>
        <w:rPr>
          <w:b/>
          <w:sz w:val="24"/>
        </w:rPr>
      </w:pPr>
      <w:bookmarkStart w:id="13" w:name="Start"/>
      <w:bookmarkEnd w:id="13"/>
      <w:r>
        <w:rPr>
          <w:b/>
          <w:sz w:val="24"/>
        </w:rPr>
        <w:t>Bilag 1 – Sektoransvar.</w:t>
      </w:r>
    </w:p>
    <w:p w:rsidR="008632AD" w:rsidRDefault="008632AD" w:rsidP="008632AD">
      <w:pPr>
        <w:rPr>
          <w:sz w:val="24"/>
        </w:rPr>
      </w:pPr>
    </w:p>
    <w:p w:rsidR="008632AD" w:rsidRDefault="008632AD" w:rsidP="008632AD">
      <w:pPr>
        <w:spacing w:line="360" w:lineRule="auto"/>
        <w:rPr>
          <w:sz w:val="24"/>
        </w:rPr>
      </w:pPr>
    </w:p>
    <w:p w:rsidR="008632AD" w:rsidRDefault="008632AD" w:rsidP="008632AD">
      <w:pPr>
        <w:spacing w:line="360" w:lineRule="auto"/>
        <w:rPr>
          <w:sz w:val="24"/>
        </w:rPr>
      </w:pPr>
      <w:r>
        <w:rPr>
          <w:sz w:val="24"/>
        </w:rPr>
        <w:t>Deltagerne i Den Lokale Beredskabsstab</w:t>
      </w:r>
      <w:r w:rsidR="0051657F">
        <w:rPr>
          <w:sz w:val="24"/>
        </w:rPr>
        <w:t xml:space="preserve"> er</w:t>
      </w:r>
      <w:r>
        <w:rPr>
          <w:sz w:val="24"/>
        </w:rPr>
        <w:t xml:space="preserve"> repræsentanter fra følgende myndigheder, hvis sektoransvar er kort beskrevet herunder: </w:t>
      </w:r>
    </w:p>
    <w:p w:rsidR="008632AD" w:rsidRDefault="008632AD" w:rsidP="008632AD">
      <w:pPr>
        <w:spacing w:line="360" w:lineRule="auto"/>
        <w:rPr>
          <w:b/>
          <w:sz w:val="24"/>
        </w:rPr>
      </w:pPr>
      <w:r>
        <w:rPr>
          <w:sz w:val="24"/>
        </w:rPr>
        <w:t xml:space="preserve">  </w:t>
      </w:r>
    </w:p>
    <w:p w:rsidR="008632AD" w:rsidRDefault="008632AD" w:rsidP="008632AD">
      <w:pPr>
        <w:spacing w:line="360" w:lineRule="auto"/>
        <w:rPr>
          <w:b/>
          <w:bCs/>
          <w:sz w:val="24"/>
          <w:u w:val="single"/>
        </w:rPr>
      </w:pPr>
      <w:r>
        <w:rPr>
          <w:b/>
          <w:bCs/>
          <w:sz w:val="24"/>
          <w:u w:val="single"/>
        </w:rPr>
        <w:t>Beredskabsstyrelsen:</w:t>
      </w: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Beredskabsstyrelsen yder assistance til øvrige myndigheder ved kriser, ulykker og katastrofer, når der er behov for særlige kompetencer, specialmateriel eller ekstra meget mandskab. </w:t>
      </w: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Ved større, komplicerede eller mandskabskrævende hændelser, eller hvor der er behov for særlige kompetencer eller specialmateriel, kan det kommunale redningsberedskab tilkalde assistance fra Beredskabsstyrelsen. Det kunne f.eks. være større brande, ulykker med farlige stoffer eller voldsomt vejr som f.eks. snestorm, skybrud eller oversvømmelse fra havet. </w:t>
      </w: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Beredskabsstyrelsen kan også tilkaldes til at yde assistance til andre myndigheder med ansvar for beredskab og opretholdelse af vigtige samfundsfunktioner, f.eks. sundhedsmyndighederne og politiet. Beredskabsstyrelsens mandskab og materiel kan bruges til løsningen af en lang række forskelligartede opgaver. </w:t>
      </w: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I tillæg til Beredskabsstyrelsens operative opgaver har styrelsen også en række myndighedsopgaver, f.eks. tilsyn og rådgivning inden for redningsberedskabet, brandforebyggelse mm. </w:t>
      </w:r>
    </w:p>
    <w:p w:rsidR="008632AD" w:rsidRDefault="008632AD" w:rsidP="008632AD">
      <w:pPr>
        <w:spacing w:line="360" w:lineRule="auto"/>
        <w:rPr>
          <w:b/>
          <w:bCs/>
          <w:sz w:val="24"/>
          <w:u w:val="single"/>
        </w:rPr>
      </w:pPr>
    </w:p>
    <w:p w:rsidR="008632AD" w:rsidRDefault="008632AD" w:rsidP="008632AD">
      <w:pPr>
        <w:spacing w:line="360" w:lineRule="auto"/>
        <w:rPr>
          <w:b/>
          <w:bCs/>
          <w:sz w:val="24"/>
          <w:u w:val="single"/>
        </w:rPr>
      </w:pPr>
      <w:r>
        <w:rPr>
          <w:b/>
          <w:bCs/>
          <w:sz w:val="24"/>
          <w:u w:val="single"/>
        </w:rPr>
        <w:t xml:space="preserve">Det Kommunale Redningsberedskab: </w:t>
      </w: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Det Kommunale Redningsberedskab skal kunne yde en i forhold til lokale risici forsvarlig forebyggende, begrænsende og afhjælpende indsats mod skader på personer, ejendom og miljøet ved ulykker og katastrofer. De nærmere regler for det kommunale redningsberedskabs opgaver, organisation og dimensionering mv. fremgår af bekendtgørelse om risikobaseret kommunalt redningsberedskab. Grundprincippet i bekendtgørelsen er, at kommunerne skal dimensionere det daglige beredskab ud fra en vurdering af de lokale risici. </w:t>
      </w:r>
    </w:p>
    <w:p w:rsidR="008632AD" w:rsidRDefault="008632AD" w:rsidP="008632AD">
      <w:pPr>
        <w:pStyle w:val="Default"/>
        <w:spacing w:line="360" w:lineRule="auto"/>
        <w:rPr>
          <w:rFonts w:ascii="Times New Roman" w:hAnsi="Times New Roman" w:cs="Times New Roman"/>
          <w:color w:val="auto"/>
        </w:rPr>
      </w:pP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Det Kommunale Redningsberedskab skal således kunne yde en forsvarlig indsats ved brand, overhængende fare for brand, skibsulykker ved kaj, naturkatastrofer og akutte uheld med farlige stoffer på landjorden, i søer, i vandløb og i havne. Det Kommunale Redningsberedskab har endvidere ansvaret for redningsarbejde, herunder frigørelse af fastklemte ved såvel trafikuheld som ved togulykker, flyulykker, sammenstyrtningsulykker, miljøulykker mv. </w:t>
      </w:r>
    </w:p>
    <w:p w:rsidR="008632AD" w:rsidRDefault="008632AD" w:rsidP="008632AD">
      <w:pPr>
        <w:pStyle w:val="Default"/>
        <w:spacing w:line="360" w:lineRule="auto"/>
        <w:rPr>
          <w:rFonts w:ascii="Times New Roman" w:hAnsi="Times New Roman" w:cs="Times New Roman"/>
          <w:color w:val="auto"/>
        </w:rPr>
      </w:pPr>
    </w:p>
    <w:p w:rsidR="008632AD" w:rsidRDefault="008632AD" w:rsidP="008632AD">
      <w:pPr>
        <w:spacing w:line="360" w:lineRule="auto"/>
        <w:rPr>
          <w:sz w:val="24"/>
        </w:rPr>
      </w:pPr>
      <w:r>
        <w:rPr>
          <w:sz w:val="24"/>
        </w:rPr>
        <w:t>Redningsopgaver i søer, moser, åer og havne er ligeledes forankret hos Det Kommunale Redningsberedskab. Disse opgaver skal derfor indgå i dimensioneringen af Det Kommunale Redningsberedskab, jf. dimensioneringsbekendtgørelsen.</w:t>
      </w:r>
    </w:p>
    <w:p w:rsidR="008632AD" w:rsidRDefault="008632AD" w:rsidP="008632AD">
      <w:pPr>
        <w:spacing w:line="360" w:lineRule="auto"/>
        <w:rPr>
          <w:sz w:val="24"/>
        </w:rPr>
      </w:pPr>
    </w:p>
    <w:p w:rsidR="008632AD" w:rsidRDefault="008632AD" w:rsidP="008632AD">
      <w:pPr>
        <w:spacing w:line="360" w:lineRule="auto"/>
        <w:rPr>
          <w:sz w:val="24"/>
        </w:rPr>
      </w:pPr>
      <w:r>
        <w:rPr>
          <w:sz w:val="24"/>
        </w:rPr>
        <w:t>Det Kommunale Redningsberedskab skal i henhold til beredskabslovgivningen kunne modtage, indkvartere og forpleje evakuerede og andre nødstedte. Indkvarterings- og forplejningsberedskabet er en del af redningsberedskabets risikobaserede dimensionering.</w:t>
      </w:r>
    </w:p>
    <w:p w:rsidR="008632AD" w:rsidRDefault="008632AD" w:rsidP="008632AD">
      <w:pPr>
        <w:spacing w:line="360" w:lineRule="auto"/>
        <w:rPr>
          <w:sz w:val="24"/>
        </w:rPr>
      </w:pPr>
    </w:p>
    <w:p w:rsidR="008632AD" w:rsidRDefault="008632AD" w:rsidP="008632AD">
      <w:pPr>
        <w:spacing w:line="360" w:lineRule="auto"/>
        <w:rPr>
          <w:b/>
          <w:sz w:val="24"/>
          <w:u w:val="single"/>
        </w:rPr>
      </w:pPr>
      <w:r>
        <w:rPr>
          <w:b/>
          <w:bCs/>
          <w:sz w:val="24"/>
          <w:u w:val="single"/>
        </w:rPr>
        <w:t xml:space="preserve">Den Kommunale Krisestyringsstab:  </w:t>
      </w:r>
    </w:p>
    <w:p w:rsidR="008632AD" w:rsidRDefault="008632AD" w:rsidP="008632AD">
      <w:pPr>
        <w:pStyle w:val="Default"/>
        <w:spacing w:line="360" w:lineRule="auto"/>
      </w:pPr>
      <w:r>
        <w:rPr>
          <w:rFonts w:ascii="Times New Roman" w:hAnsi="Times New Roman" w:cs="Times New Roman"/>
          <w:color w:val="auto"/>
        </w:rPr>
        <w:t>Kommunens krisestab etableres ved større, længerevarende hændelser, der involverer flere af kommunens forvaltninger. Krisestaben har til opgave at understøtte videreførelse af kommunens kritiske ydelser i forhold til borgerne som f.eks. hjemmepleje og medicin til ældre i eget hjem, adgang til plejehjem for redningsberedskabet, snerydning på kommunale veje, kørsel til specialskoler, evt. åbning af idrætshaller til nødindkvartering m.v. samt at koordinere kommunens øvrige opgaver i relation til den igangværende indsats. For eksempel omprioritering af kommunens samlede opgaver, omfordeling af kommunens ressourcer m.fl.</w:t>
      </w:r>
    </w:p>
    <w:p w:rsidR="008632AD" w:rsidRDefault="008632AD" w:rsidP="008632AD">
      <w:pPr>
        <w:spacing w:line="360" w:lineRule="auto"/>
        <w:rPr>
          <w:rFonts w:ascii="Calibri" w:hAnsi="Calibri" w:cs="Calibri"/>
          <w:sz w:val="24"/>
        </w:rPr>
      </w:pPr>
    </w:p>
    <w:p w:rsidR="008632AD" w:rsidRDefault="008632AD" w:rsidP="008632AD">
      <w:pPr>
        <w:spacing w:line="360" w:lineRule="auto"/>
        <w:rPr>
          <w:b/>
          <w:bCs/>
          <w:sz w:val="24"/>
          <w:u w:val="single"/>
        </w:rPr>
      </w:pPr>
      <w:r>
        <w:rPr>
          <w:b/>
          <w:bCs/>
          <w:sz w:val="24"/>
          <w:u w:val="single"/>
        </w:rPr>
        <w:t xml:space="preserve">Sundhedsberedskabet: </w:t>
      </w:r>
    </w:p>
    <w:p w:rsidR="008632AD" w:rsidRDefault="008632AD" w:rsidP="008632AD">
      <w:pPr>
        <w:spacing w:line="360" w:lineRule="auto"/>
        <w:rPr>
          <w:sz w:val="24"/>
        </w:rPr>
      </w:pPr>
      <w:r>
        <w:rPr>
          <w:sz w:val="24"/>
        </w:rPr>
        <w:t xml:space="preserve">Sundhedsberedskabet omfatter sygehusberedskabet, den præhospitale indsats, </w:t>
      </w:r>
    </w:p>
    <w:p w:rsidR="008632AD" w:rsidRDefault="008632AD" w:rsidP="008632AD">
      <w:pPr>
        <w:spacing w:line="360" w:lineRule="auto"/>
        <w:rPr>
          <w:sz w:val="24"/>
        </w:rPr>
      </w:pPr>
      <w:r>
        <w:rPr>
          <w:sz w:val="24"/>
        </w:rPr>
        <w:t>lægemiddelberedskabet og beredskabet i den primære sundhedssektor. Beredskabet på</w:t>
      </w:r>
      <w:r w:rsidR="00EA5414">
        <w:rPr>
          <w:sz w:val="24"/>
        </w:rPr>
        <w:t xml:space="preserve"> </w:t>
      </w:r>
      <w:r>
        <w:rPr>
          <w:sz w:val="24"/>
        </w:rPr>
        <w:t>sygehusene og den præhospitale indsats hører under regionerne. Både regioner og</w:t>
      </w:r>
      <w:r w:rsidR="00EA5414">
        <w:rPr>
          <w:sz w:val="24"/>
        </w:rPr>
        <w:t xml:space="preserve"> </w:t>
      </w:r>
      <w:r>
        <w:rPr>
          <w:sz w:val="24"/>
        </w:rPr>
        <w:t>kommuner har opgaver i forbindelse med beredskabet i den primære sundhedssektor</w:t>
      </w:r>
      <w:r w:rsidR="00EA5414">
        <w:rPr>
          <w:sz w:val="24"/>
        </w:rPr>
        <w:t xml:space="preserve"> </w:t>
      </w:r>
      <w:r>
        <w:rPr>
          <w:sz w:val="24"/>
        </w:rPr>
        <w:t>og lægemiddelberedskabet. Psykosocial indsats (social assistance, krisestøtte og kriseterapi) og beredskab til indsats i forbindelse med CBRNE-hændelser er faglige delelementer i sundhedsberedskabet. </w:t>
      </w:r>
    </w:p>
    <w:p w:rsidR="008632AD" w:rsidRDefault="008632AD" w:rsidP="008632AD">
      <w:pPr>
        <w:spacing w:line="360" w:lineRule="auto"/>
        <w:rPr>
          <w:sz w:val="24"/>
        </w:rPr>
      </w:pPr>
    </w:p>
    <w:p w:rsidR="008632AD" w:rsidRDefault="008632AD" w:rsidP="008632AD">
      <w:pPr>
        <w:spacing w:line="360" w:lineRule="auto"/>
        <w:rPr>
          <w:sz w:val="24"/>
        </w:rPr>
      </w:pPr>
      <w:r>
        <w:rPr>
          <w:color w:val="000000"/>
          <w:sz w:val="24"/>
          <w:shd w:val="clear" w:color="auto" w:fill="FFFFFF"/>
        </w:rPr>
        <w:t>ISL SUND (Indsatsleder Sundhedsfaglig) har ledelsen af den samlede præhospitale indsats i indsatsområdet og ind</w:t>
      </w:r>
      <w:r>
        <w:rPr>
          <w:color w:val="000000"/>
          <w:sz w:val="24"/>
        </w:rPr>
        <w:t>går i den tværfaglige indsatsledelse sammen med ISL POLITI og ISL BRAND. </w:t>
      </w:r>
    </w:p>
    <w:p w:rsidR="008632AD" w:rsidRDefault="008632AD" w:rsidP="008632AD">
      <w:pPr>
        <w:spacing w:line="360" w:lineRule="auto"/>
        <w:rPr>
          <w:sz w:val="24"/>
        </w:rPr>
      </w:pPr>
      <w:r>
        <w:rPr>
          <w:sz w:val="24"/>
        </w:rPr>
        <w:t>AMK varetager den operative ledelse og koordinering af den samlede sundhedsfaglige indsats i regionen. Regionen (ofte repræsenteret ved AMK) er fast medlem af Den</w:t>
      </w:r>
      <w:r w:rsidR="00EA5414">
        <w:rPr>
          <w:sz w:val="24"/>
        </w:rPr>
        <w:t xml:space="preserve"> </w:t>
      </w:r>
      <w:r>
        <w:rPr>
          <w:sz w:val="24"/>
        </w:rPr>
        <w:t>Lokale Beredskabsstab (LBS) og kan efter en konkret vurdering indgå på både strategisk og operationelt niveau.</w:t>
      </w:r>
    </w:p>
    <w:p w:rsidR="008632AD" w:rsidRDefault="008632AD" w:rsidP="008632AD">
      <w:pPr>
        <w:spacing w:line="360" w:lineRule="auto"/>
        <w:rPr>
          <w:sz w:val="24"/>
        </w:rPr>
      </w:pPr>
    </w:p>
    <w:p w:rsidR="008632AD" w:rsidRDefault="008632AD" w:rsidP="008632AD">
      <w:pPr>
        <w:spacing w:line="360" w:lineRule="auto"/>
        <w:rPr>
          <w:b/>
          <w:sz w:val="24"/>
        </w:rPr>
      </w:pPr>
      <w:r>
        <w:rPr>
          <w:b/>
          <w:sz w:val="24"/>
          <w:u w:val="single"/>
        </w:rPr>
        <w:t xml:space="preserve">Forsvaret: </w:t>
      </w:r>
    </w:p>
    <w:p w:rsidR="008632AD" w:rsidRDefault="008632AD" w:rsidP="008632AD">
      <w:pPr>
        <w:spacing w:line="360" w:lineRule="auto"/>
        <w:rPr>
          <w:sz w:val="24"/>
        </w:rPr>
      </w:pPr>
      <w:r>
        <w:rPr>
          <w:sz w:val="24"/>
        </w:rPr>
        <w:t>Hjemmeværnets opgaveløsning sker som støtte til Østjyllands Politi i forbindelse med sidstnævntes myndighedsudøvelse. Land</w:t>
      </w:r>
      <w:r w:rsidR="0051657F">
        <w:rPr>
          <w:sz w:val="24"/>
        </w:rPr>
        <w:t>s</w:t>
      </w:r>
      <w:r>
        <w:rPr>
          <w:sz w:val="24"/>
        </w:rPr>
        <w:t>delsregion Vest/Hjemmeværnet repræsenterer endvidere Forsvaret i LBS, hvor såvel egne som den øvrige del af Forsvarets kapaciteter og kapabiliteter vil kunne bringes i spil og understøtte større, længer</w:t>
      </w:r>
      <w:r w:rsidR="0051657F">
        <w:rPr>
          <w:sz w:val="24"/>
        </w:rPr>
        <w:t>e</w:t>
      </w:r>
      <w:r>
        <w:rPr>
          <w:sz w:val="24"/>
        </w:rPr>
        <w:t>varende og/eller personelkrævende hændelser.</w:t>
      </w:r>
    </w:p>
    <w:p w:rsidR="008632AD" w:rsidRDefault="008632AD" w:rsidP="008632AD">
      <w:pPr>
        <w:spacing w:line="360" w:lineRule="auto"/>
        <w:rPr>
          <w:sz w:val="24"/>
        </w:rPr>
      </w:pPr>
      <w:r>
        <w:rPr>
          <w:sz w:val="24"/>
        </w:rPr>
        <w:t>Hjemmeværnet forbliver under den militære kommandostruktur, uanset støttens karakter.</w:t>
      </w:r>
    </w:p>
    <w:p w:rsidR="00EA5414" w:rsidRDefault="00EA5414" w:rsidP="008632AD">
      <w:pPr>
        <w:spacing w:line="360" w:lineRule="auto"/>
        <w:rPr>
          <w:sz w:val="24"/>
        </w:rPr>
      </w:pPr>
    </w:p>
    <w:p w:rsidR="00EA5414" w:rsidRDefault="00EA5414" w:rsidP="008632AD">
      <w:pPr>
        <w:spacing w:line="360" w:lineRule="auto"/>
        <w:rPr>
          <w:sz w:val="24"/>
        </w:rPr>
      </w:pPr>
    </w:p>
    <w:p w:rsidR="008632AD" w:rsidRDefault="008632AD" w:rsidP="008632AD">
      <w:pPr>
        <w:spacing w:line="360" w:lineRule="auto"/>
        <w:rPr>
          <w:sz w:val="24"/>
        </w:rPr>
      </w:pPr>
    </w:p>
    <w:p w:rsidR="008632AD" w:rsidRDefault="008632AD" w:rsidP="008632AD">
      <w:pPr>
        <w:spacing w:line="360" w:lineRule="auto"/>
        <w:rPr>
          <w:b/>
          <w:sz w:val="24"/>
          <w:u w:val="single"/>
        </w:rPr>
      </w:pPr>
      <w:r>
        <w:rPr>
          <w:b/>
          <w:sz w:val="24"/>
          <w:u w:val="single"/>
        </w:rPr>
        <w:t>Vejdirektoratet:</w:t>
      </w:r>
    </w:p>
    <w:p w:rsidR="008632AD" w:rsidRDefault="008632AD" w:rsidP="008632AD">
      <w:pPr>
        <w:spacing w:line="360" w:lineRule="auto"/>
        <w:rPr>
          <w:color w:val="000000"/>
          <w:sz w:val="24"/>
        </w:rPr>
      </w:pPr>
      <w:r>
        <w:rPr>
          <w:color w:val="000000"/>
          <w:sz w:val="24"/>
        </w:rPr>
        <w:t>Vejdirektoratet har ansvaret for planlægning, anlæg, drift og vedligehold af statens veje. Herunder at holde vejnettet ryddet og fremkommelige ift. sne og andet nedbør samt bjærgning af havarerede køretøjer.</w:t>
      </w:r>
    </w:p>
    <w:p w:rsidR="008632AD" w:rsidRDefault="008632AD" w:rsidP="008632AD">
      <w:pPr>
        <w:spacing w:line="360" w:lineRule="auto"/>
        <w:rPr>
          <w:color w:val="000000"/>
          <w:sz w:val="24"/>
        </w:rPr>
      </w:pPr>
      <w:r>
        <w:rPr>
          <w:color w:val="000000"/>
          <w:sz w:val="24"/>
        </w:rPr>
        <w:t>Statsvejnettet består af de mest overordnede veje i Danmark, de veje der forbinder trafikken mellem landsdelene og større byer.</w:t>
      </w:r>
    </w:p>
    <w:p w:rsidR="008632AD" w:rsidRDefault="008632AD" w:rsidP="008632AD">
      <w:pPr>
        <w:spacing w:line="360" w:lineRule="auto"/>
        <w:rPr>
          <w:sz w:val="24"/>
        </w:rPr>
      </w:pPr>
    </w:p>
    <w:p w:rsidR="008632AD" w:rsidRDefault="008632AD" w:rsidP="008632AD">
      <w:pPr>
        <w:spacing w:line="360" w:lineRule="auto"/>
        <w:rPr>
          <w:b/>
          <w:sz w:val="24"/>
          <w:u w:val="single"/>
        </w:rPr>
      </w:pPr>
      <w:r>
        <w:rPr>
          <w:b/>
          <w:sz w:val="24"/>
          <w:u w:val="single"/>
        </w:rPr>
        <w:t xml:space="preserve">Politiet: </w:t>
      </w: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Politiet har den koordinerende ledelse i Den Lokale Beredskabsstab. Efter beredskabslovens § 17 koordineres den samlede indsats ved større hændelser/indsatser af politiet. I praksis har indsatsleder-politi (ISL-PO) den koordinerende ledelse i hele indsatsområdet. Indsatsleder-redningsberedskab (ISL-RB) har ansvaret for den tekniske ledelse på skadestedet og ISL SUND har ansvaret for den præhospitale indsats.</w:t>
      </w:r>
    </w:p>
    <w:p w:rsidR="008632AD" w:rsidRDefault="008632AD" w:rsidP="008632AD">
      <w:pPr>
        <w:pStyle w:val="Default"/>
        <w:spacing w:line="360" w:lineRule="auto"/>
        <w:rPr>
          <w:rFonts w:ascii="Times New Roman" w:hAnsi="Times New Roman" w:cs="Times New Roman"/>
          <w:color w:val="auto"/>
        </w:rPr>
      </w:pPr>
    </w:p>
    <w:p w:rsidR="008632AD" w:rsidRDefault="008632AD" w:rsidP="008632AD">
      <w:pPr>
        <w:pStyle w:val="Default"/>
        <w:spacing w:line="360" w:lineRule="auto"/>
        <w:rPr>
          <w:rFonts w:ascii="Times New Roman" w:hAnsi="Times New Roman" w:cs="Times New Roman"/>
          <w:color w:val="auto"/>
        </w:rPr>
      </w:pPr>
      <w:r>
        <w:rPr>
          <w:rFonts w:ascii="Times New Roman" w:hAnsi="Times New Roman" w:cs="Times New Roman"/>
          <w:color w:val="auto"/>
        </w:rPr>
        <w:t xml:space="preserve">Herudover har politiet ansvaret for evakuering, varsling, afspærring og andre nødvendige foranstaltninger herunder bl.a. at understøtte den samlede indsats i tæt samarbejde med den øvrige indsatsledelse. </w:t>
      </w:r>
    </w:p>
    <w:p w:rsidR="008632AD" w:rsidRDefault="008632AD" w:rsidP="008632AD">
      <w:pPr>
        <w:spacing w:line="360" w:lineRule="auto"/>
        <w:rPr>
          <w:sz w:val="24"/>
        </w:rPr>
      </w:pPr>
    </w:p>
    <w:p w:rsidR="008632AD" w:rsidRDefault="008632AD" w:rsidP="008632AD">
      <w:pPr>
        <w:spacing w:line="360" w:lineRule="auto"/>
        <w:rPr>
          <w:sz w:val="24"/>
        </w:rPr>
      </w:pPr>
      <w:r>
        <w:rPr>
          <w:sz w:val="24"/>
        </w:rPr>
        <w:t>Politiet er endvidere ansvarlig for den strafferetslige efterforskning af en hændelse.</w:t>
      </w:r>
    </w:p>
    <w:p w:rsidR="008632AD" w:rsidRDefault="008632AD" w:rsidP="008632AD">
      <w:pPr>
        <w:spacing w:line="360" w:lineRule="auto"/>
        <w:rPr>
          <w:sz w:val="24"/>
        </w:rPr>
      </w:pPr>
    </w:p>
    <w:p w:rsidR="008632AD" w:rsidRDefault="008632AD" w:rsidP="008632AD"/>
    <w:p w:rsidR="008632AD" w:rsidRDefault="008632AD" w:rsidP="008632AD"/>
    <w:p w:rsidR="008632AD" w:rsidRDefault="008632AD" w:rsidP="008632AD"/>
    <w:p w:rsidR="008632AD" w:rsidRDefault="008632AD" w:rsidP="008632AD"/>
    <w:p w:rsidR="00B13568" w:rsidRDefault="00B13568"/>
    <w:p w:rsidR="00B13568" w:rsidRDefault="00B13568"/>
    <w:p w:rsidR="00B13568" w:rsidRDefault="00B13568"/>
    <w:p w:rsidR="00B13568" w:rsidRDefault="00B13568"/>
    <w:sectPr w:rsidR="00B13568">
      <w:headerReference w:type="default" r:id="rId6"/>
      <w:footerReference w:type="default" r:id="rId7"/>
      <w:headerReference w:type="first" r:id="rId8"/>
      <w:footerReference w:type="first" r:id="rId9"/>
      <w:pgSz w:w="11906" w:h="16838" w:code="9"/>
      <w:pgMar w:top="2268" w:right="2835"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BD" w:rsidRDefault="008750BD">
      <w:r>
        <w:separator/>
      </w:r>
    </w:p>
  </w:endnote>
  <w:endnote w:type="continuationSeparator" w:id="0">
    <w:p w:rsidR="008750BD" w:rsidRDefault="0087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68" w:rsidRDefault="00D31E3D">
    <w:pPr>
      <w:pStyle w:val="Sidefod"/>
    </w:pPr>
    <w:r>
      <w:rPr>
        <w:noProof/>
      </w:rPr>
      <mc:AlternateContent>
        <mc:Choice Requires="wps">
          <w:drawing>
            <wp:anchor distT="0" distB="0" distL="114300" distR="114300" simplePos="0" relativeHeight="251659776" behindDoc="0" locked="0" layoutInCell="0" allowOverlap="1">
              <wp:simplePos x="0" y="0"/>
              <wp:positionH relativeFrom="page">
                <wp:posOffset>5976620</wp:posOffset>
              </wp:positionH>
              <wp:positionV relativeFrom="page">
                <wp:posOffset>10085070</wp:posOffset>
              </wp:positionV>
              <wp:extent cx="1258570" cy="27051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8" w:rsidRDefault="00D31E3D">
                          <w:pPr>
                            <w:spacing w:line="240" w:lineRule="auto"/>
                          </w:pPr>
                          <w:r>
                            <w:rPr>
                              <w:noProof/>
                            </w:rPr>
                            <w:drawing>
                              <wp:inline distT="0" distB="0" distL="0" distR="0">
                                <wp:extent cx="1222375" cy="210820"/>
                                <wp:effectExtent l="0" t="0" r="0" b="0"/>
                                <wp:docPr id="6" name="Billede 4"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ti_staf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108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470.6pt;margin-top:794.1pt;width:99.1pt;height:2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EjsgIAALE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" o:allowincell="f" filled="f" stroked="f">
              <v:textbox inset="0,0,0,0">
                <w:txbxContent>
                  <w:p w:rsidR="00B13568" w:rsidRDefault="00D31E3D">
                    <w:pPr>
                      <w:spacing w:line="240" w:lineRule="auto"/>
                    </w:pPr>
                    <w:r>
                      <w:rPr>
                        <w:noProof/>
                      </w:rPr>
                      <w:drawing>
                        <wp:inline distT="0" distB="0" distL="0" distR="0">
                          <wp:extent cx="1222375" cy="210820"/>
                          <wp:effectExtent l="0" t="0" r="0" b="0"/>
                          <wp:docPr id="6" name="Billede 4"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ti_staf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10820"/>
                                  </a:xfrm>
                                  <a:prstGeom prst="rect">
                                    <a:avLst/>
                                  </a:prstGeom>
                                  <a:noFill/>
                                  <a:ln>
                                    <a:noFill/>
                                  </a:ln>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68" w:rsidRDefault="00D31E3D">
    <w:pPr>
      <w:pStyle w:val="Sidefod"/>
    </w:pPr>
    <w:r>
      <w:rPr>
        <w:noProof/>
      </w:rPr>
      <mc:AlternateContent>
        <mc:Choice Requires="wps">
          <w:drawing>
            <wp:anchor distT="0" distB="0" distL="114300" distR="114300" simplePos="0" relativeHeight="251658752" behindDoc="0" locked="0" layoutInCell="0" allowOverlap="1">
              <wp:simplePos x="0" y="0"/>
              <wp:positionH relativeFrom="page">
                <wp:posOffset>5976620</wp:posOffset>
              </wp:positionH>
              <wp:positionV relativeFrom="page">
                <wp:posOffset>10085070</wp:posOffset>
              </wp:positionV>
              <wp:extent cx="1219835" cy="21209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8" w:rsidRDefault="00D31E3D">
                          <w:pPr>
                            <w:spacing w:line="240" w:lineRule="auto"/>
                          </w:pPr>
                          <w:r>
                            <w:rPr>
                              <w:noProof/>
                            </w:rPr>
                            <w:drawing>
                              <wp:inline distT="0" distB="0" distL="0" distR="0">
                                <wp:extent cx="1222375" cy="210820"/>
                                <wp:effectExtent l="0" t="0" r="0" b="0"/>
                                <wp:docPr id="7" name="Billede 3"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ti_staf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108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470.6pt;margin-top:794.1pt;width:96.0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nXsQIAALE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" o:allowincell="f" filled="f" stroked="f">
              <v:textbox inset="0,0,0,0">
                <w:txbxContent>
                  <w:p w:rsidR="00B13568" w:rsidRDefault="00D31E3D">
                    <w:pPr>
                      <w:spacing w:line="240" w:lineRule="auto"/>
                    </w:pPr>
                    <w:r>
                      <w:rPr>
                        <w:noProof/>
                      </w:rPr>
                      <w:drawing>
                        <wp:inline distT="0" distB="0" distL="0" distR="0">
                          <wp:extent cx="1222375" cy="210820"/>
                          <wp:effectExtent l="0" t="0" r="0" b="0"/>
                          <wp:docPr id="7" name="Billede 3"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ti_staf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10820"/>
                                  </a:xfrm>
                                  <a:prstGeom prst="rect">
                                    <a:avLst/>
                                  </a:prstGeom>
                                  <a:noFill/>
                                  <a:ln>
                                    <a:noFill/>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BD" w:rsidRDefault="008750BD">
      <w:r>
        <w:separator/>
      </w:r>
    </w:p>
  </w:footnote>
  <w:footnote w:type="continuationSeparator" w:id="0">
    <w:p w:rsidR="008750BD" w:rsidRDefault="0087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68" w:rsidRDefault="00D31E3D">
    <w:pPr>
      <w:pStyle w:val="Sidehoved"/>
    </w:pPr>
    <w:r>
      <w:rPr>
        <w:noProof/>
      </w:rPr>
      <mc:AlternateContent>
        <mc:Choice Requires="wps">
          <w:drawing>
            <wp:anchor distT="0" distB="0" distL="114300" distR="114300" simplePos="0" relativeHeight="251655680" behindDoc="0" locked="0" layoutInCell="0" allowOverlap="1">
              <wp:simplePos x="0" y="0"/>
              <wp:positionH relativeFrom="page">
                <wp:posOffset>5868670</wp:posOffset>
              </wp:positionH>
              <wp:positionV relativeFrom="page">
                <wp:posOffset>1465580</wp:posOffset>
              </wp:positionV>
              <wp:extent cx="1434465" cy="575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8" w:rsidRDefault="00B13568">
                          <w:pPr>
                            <w:pStyle w:val="DataKonstant"/>
                            <w:rPr>
                              <w:rFonts w:ascii="Times New Roman" w:hAnsi="Times New Roman"/>
                              <w:sz w:val="16"/>
                            </w:rPr>
                          </w:pPr>
                          <w:r>
                            <w:rPr>
                              <w:rFonts w:ascii="Times New Roman" w:hAnsi="Times New Roman"/>
                              <w:sz w:val="16"/>
                            </w:rPr>
                            <w:t xml:space="preserve">Side </w:t>
                          </w:r>
                          <w:r>
                            <w:rPr>
                              <w:rStyle w:val="Sidetal"/>
                              <w:rFonts w:ascii="Times New Roman" w:hAnsi="Times New Roman"/>
                              <w:sz w:val="16"/>
                            </w:rPr>
                            <w:fldChar w:fldCharType="begin"/>
                          </w:r>
                          <w:r>
                            <w:rPr>
                              <w:rStyle w:val="Sidetal"/>
                              <w:rFonts w:ascii="Times New Roman" w:hAnsi="Times New Roman"/>
                              <w:sz w:val="16"/>
                            </w:rPr>
                            <w:instrText xml:space="preserve"> PAGE </w:instrText>
                          </w:r>
                          <w:r>
                            <w:rPr>
                              <w:rStyle w:val="Sidetal"/>
                              <w:rFonts w:ascii="Times New Roman" w:hAnsi="Times New Roman"/>
                              <w:sz w:val="16"/>
                            </w:rPr>
                            <w:fldChar w:fldCharType="separate"/>
                          </w:r>
                          <w:r w:rsidR="00B150E7">
                            <w:rPr>
                              <w:rStyle w:val="Sidetal"/>
                              <w:rFonts w:ascii="Times New Roman" w:hAnsi="Times New Roman"/>
                              <w:noProof/>
                              <w:sz w:val="16"/>
                            </w:rPr>
                            <w:t>3</w:t>
                          </w:r>
                          <w:r>
                            <w:rPr>
                              <w:rStyle w:val="Sidetal"/>
                              <w:rFonts w:ascii="Times New Roman" w:hAnsi="Times New Roman"/>
                              <w:sz w:val="16"/>
                            </w:rPr>
                            <w:fldChar w:fldCharType="end"/>
                          </w:r>
                        </w:p>
                        <w:p w:rsidR="00B13568" w:rsidRDefault="00B13568"/>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62.1pt;margin-top:115.4pt;width:112.95pt;height:4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" o:allowincell="f" filled="f" stroked="f">
              <v:textbox inset=",0,,0">
                <w:txbxContent>
                  <w:p w:rsidR="00B13568" w:rsidRDefault="00B13568">
                    <w:pPr>
                      <w:pStyle w:val="DataKonstant"/>
                      <w:rPr>
                        <w:rFonts w:ascii="Times New Roman" w:hAnsi="Times New Roman"/>
                        <w:sz w:val="16"/>
                      </w:rPr>
                    </w:pPr>
                    <w:r>
                      <w:rPr>
                        <w:rFonts w:ascii="Times New Roman" w:hAnsi="Times New Roman"/>
                        <w:sz w:val="16"/>
                      </w:rPr>
                      <w:t xml:space="preserve">Side </w:t>
                    </w:r>
                    <w:r>
                      <w:rPr>
                        <w:rStyle w:val="Sidetal"/>
                        <w:rFonts w:ascii="Times New Roman" w:hAnsi="Times New Roman"/>
                        <w:sz w:val="16"/>
                      </w:rPr>
                      <w:fldChar w:fldCharType="begin"/>
                    </w:r>
                    <w:r>
                      <w:rPr>
                        <w:rStyle w:val="Sidetal"/>
                        <w:rFonts w:ascii="Times New Roman" w:hAnsi="Times New Roman"/>
                        <w:sz w:val="16"/>
                      </w:rPr>
                      <w:instrText xml:space="preserve"> PAGE </w:instrText>
                    </w:r>
                    <w:r>
                      <w:rPr>
                        <w:rStyle w:val="Sidetal"/>
                        <w:rFonts w:ascii="Times New Roman" w:hAnsi="Times New Roman"/>
                        <w:sz w:val="16"/>
                      </w:rPr>
                      <w:fldChar w:fldCharType="separate"/>
                    </w:r>
                    <w:r w:rsidR="00B150E7">
                      <w:rPr>
                        <w:rStyle w:val="Sidetal"/>
                        <w:rFonts w:ascii="Times New Roman" w:hAnsi="Times New Roman"/>
                        <w:noProof/>
                        <w:sz w:val="16"/>
                      </w:rPr>
                      <w:t>3</w:t>
                    </w:r>
                    <w:r>
                      <w:rPr>
                        <w:rStyle w:val="Sidetal"/>
                        <w:rFonts w:ascii="Times New Roman" w:hAnsi="Times New Roman"/>
                        <w:sz w:val="16"/>
                      </w:rPr>
                      <w:fldChar w:fldCharType="end"/>
                    </w:r>
                  </w:p>
                  <w:p w:rsidR="00B13568" w:rsidRDefault="00B1356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68" w:rsidRDefault="00D31E3D">
    <w:pPr>
      <w:pStyle w:val="Sidehoved"/>
    </w:pPr>
    <w:r>
      <w:rPr>
        <w:noProof/>
      </w:rPr>
      <mc:AlternateContent>
        <mc:Choice Requires="wps">
          <w:drawing>
            <wp:anchor distT="0" distB="0" distL="114300" distR="114300" simplePos="0" relativeHeight="251656704" behindDoc="0" locked="0" layoutInCell="0" allowOverlap="1">
              <wp:simplePos x="0" y="0"/>
              <wp:positionH relativeFrom="column">
                <wp:posOffset>-33655</wp:posOffset>
              </wp:positionH>
              <wp:positionV relativeFrom="page">
                <wp:posOffset>411480</wp:posOffset>
              </wp:positionV>
              <wp:extent cx="5074920" cy="228600"/>
              <wp:effectExtent l="0" t="0" r="1143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8" w:rsidRDefault="008632AD">
                          <w:pPr>
                            <w:spacing w:line="240" w:lineRule="auto"/>
                            <w:jc w:val="right"/>
                          </w:pPr>
                          <w:bookmarkStart w:id="14" w:name="BilledeKreds"/>
                          <w:r>
                            <w:rPr>
                              <w:noProof/>
                            </w:rPr>
                            <w:drawing>
                              <wp:inline distT="0" distB="0" distL="0" distR="0">
                                <wp:extent cx="5076825" cy="231775"/>
                                <wp:effectExtent l="0" t="0" r="9525" b="0"/>
                                <wp:docPr id="10" name="Billed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076825" cy="231775"/>
                                        </a:xfrm>
                                        <a:prstGeom prst="rect">
                                          <a:avLst/>
                                        </a:prstGeom>
                                      </pic:spPr>
                                    </pic:pic>
                                  </a:graphicData>
                                </a:graphic>
                              </wp:inline>
                            </w:drawing>
                          </w:r>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2.65pt;margin-top:32.4pt;width:399.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9h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" o:allowincell="f" filled="f" stroked="f">
              <v:textbox inset="0,0,0,0">
                <w:txbxContent>
                  <w:p w:rsidR="00B13568" w:rsidRDefault="008632AD">
                    <w:pPr>
                      <w:spacing w:line="240" w:lineRule="auto"/>
                      <w:jc w:val="right"/>
                    </w:pPr>
                    <w:bookmarkStart w:id="15" w:name="BilledeKreds"/>
                    <w:r>
                      <w:rPr>
                        <w:noProof/>
                      </w:rPr>
                      <w:drawing>
                        <wp:inline distT="0" distB="0" distL="0" distR="0">
                          <wp:extent cx="5076825" cy="231775"/>
                          <wp:effectExtent l="0" t="0" r="9525" b="0"/>
                          <wp:docPr id="10" name="Billed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076825" cy="231775"/>
                                  </a:xfrm>
                                  <a:prstGeom prst="rect">
                                    <a:avLst/>
                                  </a:prstGeom>
                                </pic:spPr>
                              </pic:pic>
                            </a:graphicData>
                          </a:graphic>
                        </wp:inline>
                      </w:drawing>
                    </w:r>
                    <w:bookmarkEnd w:id="15"/>
                  </w:p>
                </w:txbxContent>
              </v:textbox>
              <w10:wrap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5976620</wp:posOffset>
              </wp:positionH>
              <wp:positionV relativeFrom="page">
                <wp:posOffset>431800</wp:posOffset>
              </wp:positionV>
              <wp:extent cx="1020445" cy="22352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68" w:rsidRDefault="00D31E3D">
                          <w:pPr>
                            <w:spacing w:line="240" w:lineRule="auto"/>
                          </w:pPr>
                          <w:bookmarkStart w:id="16" w:name="BilledePoliti"/>
                          <w:r>
                            <w:rPr>
                              <w:noProof/>
                            </w:rPr>
                            <w:drawing>
                              <wp:inline distT="0" distB="0" distL="0" distR="0">
                                <wp:extent cx="1019810" cy="219710"/>
                                <wp:effectExtent l="0" t="0" r="0" b="0"/>
                                <wp:docPr id="8"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810" cy="219710"/>
                                        </a:xfrm>
                                        <a:prstGeom prst="rect">
                                          <a:avLst/>
                                        </a:prstGeom>
                                        <a:noFill/>
                                        <a:ln>
                                          <a:noFill/>
                                        </a:ln>
                                      </pic:spPr>
                                    </pic:pic>
                                  </a:graphicData>
                                </a:graphic>
                              </wp:inline>
                            </w:drawing>
                          </w:r>
                          <w:bookmarkEnd w:id="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0.6pt;margin-top:34pt;width:80.35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" o:allowincell="f" filled="f" stroked="f">
              <v:textbox inset="0,0,0,0">
                <w:txbxContent>
                  <w:p w:rsidR="00B13568" w:rsidRDefault="00D31E3D">
                    <w:pPr>
                      <w:spacing w:line="240" w:lineRule="auto"/>
                    </w:pPr>
                    <w:bookmarkStart w:id="17" w:name="BilledePoliti"/>
                    <w:r>
                      <w:rPr>
                        <w:noProof/>
                      </w:rPr>
                      <w:drawing>
                        <wp:inline distT="0" distB="0" distL="0" distR="0">
                          <wp:extent cx="1019810" cy="219710"/>
                          <wp:effectExtent l="0" t="0" r="0" b="0"/>
                          <wp:docPr id="8"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810" cy="219710"/>
                                  </a:xfrm>
                                  <a:prstGeom prst="rect">
                                    <a:avLst/>
                                  </a:prstGeom>
                                  <a:noFill/>
                                  <a:ln>
                                    <a:noFill/>
                                  </a:ln>
                                </pic:spPr>
                              </pic:pic>
                            </a:graphicData>
                          </a:graphic>
                        </wp:inline>
                      </w:drawing>
                    </w:r>
                    <w:bookmarkEnd w:id="17"/>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66" w:dllVersion="513" w:checkStyle="1"/>
  <w:attachedTemplate r:id="rId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D"/>
    <w:rsid w:val="00411CBE"/>
    <w:rsid w:val="00435711"/>
    <w:rsid w:val="0051657F"/>
    <w:rsid w:val="008632AD"/>
    <w:rsid w:val="008750BD"/>
    <w:rsid w:val="00B13568"/>
    <w:rsid w:val="00B150E7"/>
    <w:rsid w:val="00B60127"/>
    <w:rsid w:val="00BF063D"/>
    <w:rsid w:val="00C55BB3"/>
    <w:rsid w:val="00D31E3D"/>
    <w:rsid w:val="00EA54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D5F04"/>
  <w15:chartTrackingRefBased/>
  <w15:docId w15:val="{14000065-F775-43FD-ABE8-5ACA4C3B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jc w:val="both"/>
    </w:pPr>
    <w:rPr>
      <w:sz w:val="22"/>
      <w:szCs w:val="24"/>
    </w:rPr>
  </w:style>
  <w:style w:type="paragraph" w:styleId="Overskrift1">
    <w:name w:val="heading 1"/>
    <w:basedOn w:val="Normal"/>
    <w:next w:val="Normal"/>
    <w:qFormat/>
    <w:pPr>
      <w:keepNext/>
      <w:outlineLvl w:val="0"/>
    </w:pPr>
    <w:rPr>
      <w:rFonts w:cs="Arial"/>
      <w:b/>
      <w:bCs/>
      <w:kern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taDynamisk">
    <w:name w:val="Data Dynamisk"/>
    <w:basedOn w:val="Normal"/>
    <w:semiHidden/>
    <w:pPr>
      <w:spacing w:line="220" w:lineRule="exact"/>
      <w:jc w:val="right"/>
    </w:pPr>
    <w:rPr>
      <w:sz w:val="16"/>
    </w:rPr>
  </w:style>
  <w:style w:type="paragraph" w:customStyle="1" w:styleId="DataKonstant">
    <w:name w:val="Data Konstant"/>
    <w:pPr>
      <w:spacing w:line="220" w:lineRule="exact"/>
    </w:pPr>
    <w:rPr>
      <w:rFonts w:ascii="Arial" w:hAnsi="Arial" w:cs="Arial"/>
      <w:bCs/>
      <w:sz w:val="15"/>
      <w:szCs w:val="24"/>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Markeringsbobletekst">
    <w:name w:val="Balloon Text"/>
    <w:basedOn w:val="Normal"/>
    <w:semiHidden/>
    <w:unhideWhenUsed/>
    <w:pPr>
      <w:spacing w:line="240" w:lineRule="auto"/>
    </w:pPr>
    <w:rPr>
      <w:rFonts w:ascii="Tahoma" w:hAnsi="Tahoma" w:cs="Tahoma"/>
      <w:sz w:val="16"/>
      <w:szCs w:val="16"/>
    </w:rPr>
  </w:style>
  <w:style w:type="paragraph" w:customStyle="1" w:styleId="DataKonstantFed">
    <w:name w:val="Data Konstant Fed"/>
    <w:basedOn w:val="DataKonstant"/>
    <w:rPr>
      <w:b/>
    </w:rPr>
  </w:style>
  <w:style w:type="character" w:styleId="Sidetal">
    <w:name w:val="page number"/>
    <w:basedOn w:val="Standardskrifttypeiafsnit"/>
    <w:semiHidden/>
  </w:style>
  <w:style w:type="character" w:customStyle="1" w:styleId="MarkeringsbobletekstTegn">
    <w:name w:val="Markeringsbobletekst Tegn"/>
    <w:basedOn w:val="Standardskrifttypeiafsnit"/>
    <w:semiHidden/>
    <w:rPr>
      <w:rFonts w:ascii="Tahoma" w:hAnsi="Tahoma" w:cs="Tahoma"/>
      <w:sz w:val="16"/>
      <w:szCs w:val="16"/>
    </w:rPr>
  </w:style>
  <w:style w:type="paragraph" w:customStyle="1" w:styleId="Default">
    <w:name w:val="Default"/>
    <w:basedOn w:val="Normal"/>
    <w:rsid w:val="008632AD"/>
    <w:pPr>
      <w:autoSpaceDE w:val="0"/>
      <w:autoSpaceDN w:val="0"/>
      <w:spacing w:line="240" w:lineRule="auto"/>
      <w:jc w:val="left"/>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U:\skabeloner\indstillinger\Kredsny.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kabeloner\RPCH\Notat%20(Storkreds).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Notat (Storkreds)</Template>
  <TotalTime>4</TotalTime>
  <Pages>1</Pages>
  <Words>843</Words>
  <Characters>5147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Jørgensen, Tommy Byrial (TBJ003)</dc:creator>
  <cp:keywords/>
  <dc:description/>
  <cp:lastModifiedBy>Jørgensen, Tommy Byrial (TBJ003)</cp:lastModifiedBy>
  <cp:revision>5</cp:revision>
  <cp:lastPrinted>2004-01-16T12:13:00Z</cp:lastPrinted>
  <dcterms:created xsi:type="dcterms:W3CDTF">2024-07-04T06:26:00Z</dcterms:created>
  <dcterms:modified xsi:type="dcterms:W3CDTF">2024-07-04T06:58:00Z</dcterms:modified>
</cp:coreProperties>
</file>